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5316" w14:textId="780DD40D" w:rsidR="00A37325" w:rsidRPr="00AE3147" w:rsidRDefault="00A37325" w:rsidP="00A37325">
      <w:pPr>
        <w:spacing w:before="120" w:after="120" w:line="360" w:lineRule="auto"/>
        <w:jc w:val="both"/>
        <w:rPr>
          <w:rFonts w:ascii="Narkisim" w:hAnsi="Narkisim" w:cs="Narkisim"/>
          <w:rtl/>
        </w:rPr>
      </w:pPr>
      <w:r>
        <w:rPr>
          <w:rFonts w:ascii="Narkisim" w:hAnsi="Narkisim" w:cs="Narkisim" w:hint="cs"/>
          <w:rtl/>
        </w:rPr>
        <w:t xml:space="preserve">ראש השנה </w:t>
      </w:r>
      <w:r w:rsidRPr="00AE3147">
        <w:rPr>
          <w:rFonts w:ascii="Narkisim" w:hAnsi="Narkisim" w:cs="Narkisim"/>
          <w:rtl/>
        </w:rPr>
        <w:t>תשפ"</w:t>
      </w:r>
      <w:r>
        <w:rPr>
          <w:rFonts w:ascii="Narkisim" w:hAnsi="Narkisim" w:cs="Narkisim" w:hint="cs"/>
          <w:rtl/>
        </w:rPr>
        <w:t>ז</w:t>
      </w:r>
    </w:p>
    <w:p w14:paraId="36D67418" w14:textId="77777777" w:rsidR="00A37325" w:rsidRPr="00AE3147" w:rsidRDefault="00A37325" w:rsidP="00A37325">
      <w:pPr>
        <w:spacing w:before="120" w:after="120" w:line="360" w:lineRule="auto"/>
        <w:jc w:val="both"/>
        <w:rPr>
          <w:rFonts w:ascii="Narkisim" w:hAnsi="Narkisim" w:cs="Narkisim"/>
          <w:rtl/>
        </w:rPr>
      </w:pPr>
      <w:r w:rsidRPr="00AE3147">
        <w:rPr>
          <w:rFonts w:ascii="Narkisim" w:hAnsi="Narkisim" w:cs="Narkisim"/>
          <w:rtl/>
        </w:rPr>
        <w:t>אורי בצלאל פישר</w:t>
      </w:r>
    </w:p>
    <w:p w14:paraId="5C30955C" w14:textId="77777777" w:rsidR="00A37325" w:rsidRPr="00AE3147" w:rsidRDefault="00A37325" w:rsidP="00A37325">
      <w:pPr>
        <w:spacing w:before="120" w:after="120" w:line="360" w:lineRule="auto"/>
        <w:jc w:val="center"/>
        <w:rPr>
          <w:rFonts w:ascii="Narkisim" w:hAnsi="Narkisim" w:cs="Narkisim"/>
          <w:b/>
          <w:bCs/>
          <w:sz w:val="40"/>
          <w:szCs w:val="40"/>
          <w:rtl/>
        </w:rPr>
      </w:pPr>
      <w:r w:rsidRPr="00AE3147">
        <w:rPr>
          <w:rFonts w:ascii="Narkisim" w:hAnsi="Narkisim" w:cs="Narkisim"/>
          <w:b/>
          <w:bCs/>
          <w:sz w:val="40"/>
          <w:szCs w:val="40"/>
          <w:rtl/>
        </w:rPr>
        <w:t>עלון חכם לב</w:t>
      </w:r>
    </w:p>
    <w:p w14:paraId="4EDEBFB1" w14:textId="070FD8D8" w:rsidR="00A37325" w:rsidRDefault="00A37325" w:rsidP="00A37325">
      <w:pPr>
        <w:spacing w:before="120" w:after="120" w:line="360" w:lineRule="auto"/>
        <w:jc w:val="center"/>
        <w:rPr>
          <w:rFonts w:ascii="Narkisim" w:hAnsi="Narkisim" w:cs="Narkisim"/>
          <w:b/>
          <w:bCs/>
          <w:sz w:val="32"/>
          <w:szCs w:val="32"/>
          <w:rtl/>
        </w:rPr>
      </w:pPr>
      <w:r>
        <w:rPr>
          <w:rFonts w:ascii="Narkisim" w:hAnsi="Narkisim" w:cs="Narkisim" w:hint="cs"/>
          <w:b/>
          <w:bCs/>
          <w:sz w:val="32"/>
          <w:szCs w:val="32"/>
          <w:rtl/>
        </w:rPr>
        <w:t>ראש השנה</w:t>
      </w:r>
    </w:p>
    <w:p w14:paraId="0FEDD541" w14:textId="77777777" w:rsidR="00A37325" w:rsidRDefault="00A37325" w:rsidP="00A37325">
      <w:pPr>
        <w:spacing w:before="120" w:after="120" w:line="360" w:lineRule="auto"/>
        <w:jc w:val="center"/>
        <w:rPr>
          <w:rFonts w:ascii="Narkisim" w:hAnsi="Narkisim" w:cs="Narkisim"/>
          <w:b/>
          <w:bCs/>
          <w:sz w:val="32"/>
          <w:szCs w:val="32"/>
          <w:rtl/>
        </w:rPr>
      </w:pPr>
    </w:p>
    <w:p w14:paraId="39A55B4F" w14:textId="77777777" w:rsidR="0075470A" w:rsidRPr="0089378B" w:rsidRDefault="0075470A" w:rsidP="0075470A">
      <w:pPr>
        <w:spacing w:before="120" w:after="120" w:line="360" w:lineRule="auto"/>
        <w:jc w:val="both"/>
        <w:rPr>
          <w:rFonts w:ascii="Narkisim" w:hAnsi="Narkisim" w:cs="Narkisim"/>
          <w:b/>
          <w:bCs/>
          <w:sz w:val="28"/>
          <w:szCs w:val="28"/>
        </w:rPr>
      </w:pPr>
      <w:r w:rsidRPr="0089378B">
        <w:rPr>
          <w:rFonts w:ascii="Narkisim" w:hAnsi="Narkisim" w:cs="Narkisim"/>
          <w:b/>
          <w:bCs/>
          <w:sz w:val="28"/>
          <w:szCs w:val="28"/>
          <w:rtl/>
        </w:rPr>
        <w:t>כוונות נכונות</w:t>
      </w:r>
    </w:p>
    <w:p w14:paraId="17ACC589"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מסופר שבאחת השנים ביקש הבעל שם טוב מאחד מתלמידיו לתקוע בשופר בראש השנה בבית הכנסת</w:t>
      </w:r>
      <w:r w:rsidRPr="0075470A">
        <w:rPr>
          <w:rFonts w:ascii="Narkisim" w:hAnsi="Narkisim" w:cs="Narkisim"/>
        </w:rPr>
        <w:t>.</w:t>
      </w:r>
    </w:p>
    <w:p w14:paraId="5A22D875"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כמובן, היה זה כבוד גדול עבור התלמיד. העובדה שהבעל שם טוב ביקש דווקא ממנו לתקוע בשופר הביאה אותו להבין שעליו להתכונן כראוי ולהשתדל לכוון את כל הכוונות הראויות בשעת התקיעות</w:t>
      </w:r>
      <w:r w:rsidRPr="0075470A">
        <w:rPr>
          <w:rFonts w:ascii="Narkisim" w:hAnsi="Narkisim" w:cs="Narkisim"/>
        </w:rPr>
        <w:t>.</w:t>
      </w:r>
    </w:p>
    <w:p w14:paraId="05D6E97B"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התלמיד למד ברצינות את הכוונות הראויות לתקיעת השופר, את כוונות האר"י וכיוצא בהן, כדי שיוכל לכוון כראוי בעת התקיעות. הוא אף כתב את הכוונות על דף נייר, כדי שיוכל לזכור אותן, והניח את הדף בתוך המחזור</w:t>
      </w:r>
      <w:r w:rsidRPr="0075470A">
        <w:rPr>
          <w:rFonts w:ascii="Narkisim" w:hAnsi="Narkisim" w:cs="Narkisim"/>
        </w:rPr>
        <w:t>.</w:t>
      </w:r>
    </w:p>
    <w:p w14:paraId="2DF081E2" w14:textId="5A0B6A43" w:rsidR="0075470A" w:rsidRPr="0075470A" w:rsidRDefault="0075470A" w:rsidP="0089378B">
      <w:pPr>
        <w:spacing w:before="120" w:after="120" w:line="360" w:lineRule="auto"/>
        <w:jc w:val="both"/>
        <w:rPr>
          <w:rFonts w:ascii="Narkisim" w:hAnsi="Narkisim" w:cs="Narkisim"/>
        </w:rPr>
      </w:pPr>
      <w:r w:rsidRPr="0075470A">
        <w:rPr>
          <w:rFonts w:ascii="Narkisim" w:hAnsi="Narkisim" w:cs="Narkisim"/>
          <w:rtl/>
        </w:rPr>
        <w:t>כאשר הגיע הזמן לתקוע, גילה הבעל תוקע, להפתעתו, שהפתק נעלם</w:t>
      </w:r>
      <w:r w:rsidRPr="0075470A">
        <w:rPr>
          <w:rFonts w:ascii="Narkisim" w:hAnsi="Narkisim" w:cs="Narkisim"/>
        </w:rPr>
        <w:t>.</w:t>
      </w:r>
      <w:r w:rsidR="0089378B">
        <w:rPr>
          <w:rFonts w:ascii="Narkisim" w:hAnsi="Narkisim" w:cs="Narkisim" w:hint="cs"/>
          <w:rtl/>
        </w:rPr>
        <w:t xml:space="preserve"> </w:t>
      </w:r>
      <w:r w:rsidRPr="0075470A">
        <w:rPr>
          <w:rFonts w:ascii="Narkisim" w:hAnsi="Narkisim" w:cs="Narkisim"/>
          <w:rtl/>
        </w:rPr>
        <w:t>התלמיד הצטער צער רב. הרי הבעל שם טוב ביקש ממנו לתקוע את התקיעות, וכיצד יוכל להוציא את הבעל שם טוב ואת כל הציבור ידי חובה בכוונות פשוטות בלבד</w:t>
      </w:r>
      <w:r w:rsidRPr="0075470A">
        <w:rPr>
          <w:rFonts w:ascii="Narkisim" w:hAnsi="Narkisim" w:cs="Narkisim"/>
        </w:rPr>
        <w:t>?</w:t>
      </w:r>
    </w:p>
    <w:p w14:paraId="7EB38846"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בלית ברירה כיוון את הכוונה הפשוטה – להוציא את הציבור ידי חובה ולקיים את מצוות ה'. הוא תקע את התקיעות מתוך צער וכאב על כך שלא הצליח לכוון את כל הכוונות שהתכונן אליהן</w:t>
      </w:r>
      <w:r w:rsidRPr="0075470A">
        <w:rPr>
          <w:rFonts w:ascii="Narkisim" w:hAnsi="Narkisim" w:cs="Narkisim"/>
        </w:rPr>
        <w:t>.</w:t>
      </w:r>
    </w:p>
    <w:p w14:paraId="487FE914"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לאחר סיום התקיעות בירך הבעל שם טוב את התלמיד ואמר לו שהוא מרגיש שלא היו תקיעות שנאמרו בכוונות נעלות כל כך כפי שהיו באותה שנה</w:t>
      </w:r>
      <w:r w:rsidRPr="0075470A">
        <w:rPr>
          <w:rFonts w:ascii="Narkisim" w:hAnsi="Narkisim" w:cs="Narkisim"/>
        </w:rPr>
        <w:t>.</w:t>
      </w:r>
    </w:p>
    <w:p w14:paraId="6E1D83A6"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ללמדך, שהכוונה החשובה ביותר היא הכוונה לקיים את מצוות ה' ולהוציא את הציבור ידי חובה</w:t>
      </w:r>
      <w:r w:rsidRPr="0075470A">
        <w:rPr>
          <w:rFonts w:ascii="Narkisim" w:hAnsi="Narkisim" w:cs="Narkisim"/>
        </w:rPr>
        <w:t>.</w:t>
      </w:r>
    </w:p>
    <w:p w14:paraId="7D5059E8"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ובעומק הדברים, יש כאן גם כוונה של צער, כאב ורצון לתקן את המעשים</w:t>
      </w:r>
      <w:r w:rsidRPr="0075470A">
        <w:rPr>
          <w:rFonts w:ascii="Narkisim" w:hAnsi="Narkisim" w:cs="Narkisim"/>
        </w:rPr>
        <w:t>.</w:t>
      </w:r>
    </w:p>
    <w:p w14:paraId="2F95F935"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נראה שסיפור זה מקבל משמעות מיוחדת דווקא בשנה שבה אין תוקעים בשופר ביום הראשון של ראש השנה</w:t>
      </w:r>
      <w:r w:rsidRPr="0075470A">
        <w:rPr>
          <w:rFonts w:ascii="Narkisim" w:hAnsi="Narkisim" w:cs="Narkisim"/>
        </w:rPr>
        <w:t>.</w:t>
      </w:r>
    </w:p>
    <w:p w14:paraId="278640EB"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כוונת הדברים היא שבעצם התקיעה האמיתית היא גם התקיעה של הצער והכאב על כך שחטאנו. תקיעת השופר נועדה לעורר אותנו לתשובה ולתיקון המעשים</w:t>
      </w:r>
      <w:r w:rsidRPr="0075470A">
        <w:rPr>
          <w:rFonts w:ascii="Narkisim" w:hAnsi="Narkisim" w:cs="Narkisim"/>
        </w:rPr>
        <w:t>.</w:t>
      </w:r>
    </w:p>
    <w:p w14:paraId="027D2485" w14:textId="119F5FEB" w:rsidR="0075470A" w:rsidRPr="0075470A" w:rsidRDefault="0075470A" w:rsidP="0089378B">
      <w:pPr>
        <w:spacing w:before="120" w:after="120" w:line="360" w:lineRule="auto"/>
        <w:jc w:val="both"/>
        <w:rPr>
          <w:rFonts w:ascii="Narkisim" w:hAnsi="Narkisim" w:cs="Narkisim"/>
        </w:rPr>
      </w:pPr>
      <w:r w:rsidRPr="0075470A">
        <w:rPr>
          <w:rFonts w:ascii="Narkisim" w:hAnsi="Narkisim" w:cs="Narkisim"/>
          <w:rtl/>
        </w:rPr>
        <w:t>אולם יש תקיעה שאפשר לשמוע גם כאשר אין שופר</w:t>
      </w:r>
      <w:r w:rsidRPr="0075470A">
        <w:rPr>
          <w:rFonts w:ascii="Narkisim" w:hAnsi="Narkisim" w:cs="Narkisim"/>
        </w:rPr>
        <w:t>.</w:t>
      </w:r>
      <w:r w:rsidR="0089378B">
        <w:rPr>
          <w:rFonts w:ascii="Narkisim" w:hAnsi="Narkisim" w:cs="Narkisim" w:hint="cs"/>
          <w:rtl/>
        </w:rPr>
        <w:t xml:space="preserve"> </w:t>
      </w:r>
      <w:r w:rsidRPr="0075470A">
        <w:rPr>
          <w:rFonts w:ascii="Narkisim" w:hAnsi="Narkisim" w:cs="Narkisim"/>
          <w:rtl/>
        </w:rPr>
        <w:t>זוהי התקיעה הפנימית – התקיעה של הלב. הצער על המעשים שאינם ראויים, הכאב על החטאים והרצון האמיתי להשתנות ולתקן</w:t>
      </w:r>
      <w:r w:rsidRPr="0075470A">
        <w:rPr>
          <w:rFonts w:ascii="Narkisim" w:hAnsi="Narkisim" w:cs="Narkisim"/>
        </w:rPr>
        <w:t>.</w:t>
      </w:r>
    </w:p>
    <w:p w14:paraId="15EEAE4D" w14:textId="77777777" w:rsidR="0075470A" w:rsidRPr="0075470A" w:rsidRDefault="0075470A" w:rsidP="0075470A">
      <w:pPr>
        <w:spacing w:before="120" w:after="120" w:line="360" w:lineRule="auto"/>
        <w:jc w:val="both"/>
        <w:rPr>
          <w:rFonts w:ascii="Narkisim" w:hAnsi="Narkisim" w:cs="Narkisim"/>
        </w:rPr>
      </w:pPr>
      <w:r w:rsidRPr="0075470A">
        <w:rPr>
          <w:rFonts w:ascii="Narkisim" w:hAnsi="Narkisim" w:cs="Narkisim"/>
          <w:rtl/>
        </w:rPr>
        <w:t>בשנה שבה אין תוקעים בשופר ביום הראשון של ראש השנה, עלינו לאפשר לתקיעה לבקוע מתוך הלב שלנו</w:t>
      </w:r>
      <w:r w:rsidRPr="0075470A">
        <w:rPr>
          <w:rFonts w:ascii="Narkisim" w:hAnsi="Narkisim" w:cs="Narkisim"/>
        </w:rPr>
        <w:t>.</w:t>
      </w:r>
    </w:p>
    <w:p w14:paraId="00A18B5B" w14:textId="77777777" w:rsidR="0075470A" w:rsidRPr="0089378B" w:rsidRDefault="0075470A" w:rsidP="0075470A">
      <w:pPr>
        <w:spacing w:before="120" w:after="120" w:line="360" w:lineRule="auto"/>
        <w:jc w:val="both"/>
        <w:rPr>
          <w:rFonts w:ascii="Narkisim" w:hAnsi="Narkisim" w:cs="Narkisim"/>
        </w:rPr>
      </w:pPr>
      <w:r w:rsidRPr="0089378B">
        <w:rPr>
          <w:rFonts w:ascii="Narkisim" w:hAnsi="Narkisim" w:cs="Narkisim"/>
          <w:rtl/>
        </w:rPr>
        <w:t>לא תהיה תקיעה היוצאת מן השופר, אך יכולה להיות תקיעה עמוקה יותר</w:t>
      </w:r>
      <w:r w:rsidRPr="0089378B">
        <w:rPr>
          <w:rFonts w:ascii="Narkisim" w:hAnsi="Narkisim" w:cs="Narkisim"/>
        </w:rPr>
        <w:t xml:space="preserve"> – </w:t>
      </w:r>
      <w:r w:rsidRPr="0089378B">
        <w:rPr>
          <w:rFonts w:ascii="Narkisim" w:hAnsi="Narkisim" w:cs="Narkisim"/>
          <w:rtl/>
        </w:rPr>
        <w:t>התקיעה היוצאת מן הלב</w:t>
      </w:r>
      <w:r w:rsidRPr="0089378B">
        <w:rPr>
          <w:rFonts w:ascii="Narkisim" w:hAnsi="Narkisim" w:cs="Narkisim"/>
        </w:rPr>
        <w:t>.</w:t>
      </w:r>
    </w:p>
    <w:p w14:paraId="78E57047" w14:textId="77777777" w:rsidR="0075470A" w:rsidRDefault="0075470A" w:rsidP="005C1D95">
      <w:pPr>
        <w:spacing w:before="120" w:after="120" w:line="360" w:lineRule="auto"/>
        <w:jc w:val="both"/>
        <w:rPr>
          <w:rFonts w:ascii="Narkisim" w:hAnsi="Narkisim" w:cs="Narkisim"/>
          <w:rtl/>
        </w:rPr>
      </w:pPr>
    </w:p>
    <w:p w14:paraId="33A48019" w14:textId="77777777" w:rsidR="00F13FA4" w:rsidRDefault="00F13FA4" w:rsidP="005C1D95">
      <w:pPr>
        <w:spacing w:before="120" w:after="120" w:line="360" w:lineRule="auto"/>
        <w:jc w:val="both"/>
        <w:rPr>
          <w:rFonts w:ascii="Narkisim" w:hAnsi="Narkisim" w:cs="Narkisim"/>
          <w:rtl/>
        </w:rPr>
      </w:pPr>
    </w:p>
    <w:p w14:paraId="615F5638" w14:textId="77777777" w:rsidR="00F13FA4" w:rsidRPr="0075470A" w:rsidRDefault="00F13FA4" w:rsidP="005C1D95">
      <w:pPr>
        <w:spacing w:before="120" w:after="120" w:line="360" w:lineRule="auto"/>
        <w:jc w:val="both"/>
        <w:rPr>
          <w:rFonts w:ascii="Narkisim" w:hAnsi="Narkisim" w:cs="Narkisim"/>
          <w:rtl/>
        </w:rPr>
      </w:pPr>
    </w:p>
    <w:p w14:paraId="1C02B9E2" w14:textId="01F3969B" w:rsidR="005C1D95" w:rsidRPr="005C1D95" w:rsidRDefault="005C1D95" w:rsidP="005C1D95">
      <w:pPr>
        <w:spacing w:before="120" w:after="120" w:line="360" w:lineRule="auto"/>
        <w:jc w:val="both"/>
        <w:rPr>
          <w:rFonts w:ascii="Narkisim" w:hAnsi="Narkisim" w:cs="Narkisim"/>
          <w:b/>
          <w:bCs/>
          <w:sz w:val="28"/>
          <w:szCs w:val="28"/>
        </w:rPr>
      </w:pPr>
      <w:r w:rsidRPr="005C1D95">
        <w:rPr>
          <w:rFonts w:ascii="Narkisim" w:hAnsi="Narkisim" w:cs="Narkisim"/>
          <w:b/>
          <w:bCs/>
          <w:sz w:val="28"/>
          <w:szCs w:val="28"/>
          <w:rtl/>
        </w:rPr>
        <w:lastRenderedPageBreak/>
        <w:t>כי מה' שאלתיו</w:t>
      </w:r>
    </w:p>
    <w:p w14:paraId="2FA1C41B" w14:textId="270A376A"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 xml:space="preserve">בראש השנה, ביום הראשון, </w:t>
      </w:r>
      <w:r>
        <w:rPr>
          <w:rFonts w:ascii="Narkisim" w:hAnsi="Narkisim" w:cs="Narkisim" w:hint="cs"/>
          <w:rtl/>
        </w:rPr>
        <w:t>קוראים</w:t>
      </w:r>
      <w:r w:rsidRPr="005C1D95">
        <w:rPr>
          <w:rFonts w:ascii="Narkisim" w:hAnsi="Narkisim" w:cs="Narkisim"/>
          <w:rtl/>
        </w:rPr>
        <w:t xml:space="preserve"> בהפטרה את תפילת חנה. הטעם הידוע לקריאת הפטרה זו בראש השנה מבואר במסכת ראש השנה (יא, ע"א): "בראש השנה נפקדה שרה רחל וחנה</w:t>
      </w:r>
      <w:r w:rsidRPr="005C1D95">
        <w:rPr>
          <w:rFonts w:ascii="Narkisim" w:hAnsi="Narkisim" w:cs="Narkisim"/>
        </w:rPr>
        <w:t>"</w:t>
      </w:r>
      <w:r>
        <w:rPr>
          <w:rFonts w:ascii="Narkisim" w:hAnsi="Narkisim" w:cs="Narkisim" w:hint="cs"/>
          <w:rtl/>
        </w:rPr>
        <w:t>.</w:t>
      </w:r>
    </w:p>
    <w:p w14:paraId="6BED11B4"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 xml:space="preserve">אולם, לעניות דעתי, יש טעם נוסף לקריאת הפטרה זו בראש השנה, והוא עומד כיסוד לעבודת ה' שלנו. כוונתי לפסוק: "ותקרא את שמו שמואל כי מה' שאלתיו" (שמואל א </w:t>
      </w:r>
      <w:proofErr w:type="spellStart"/>
      <w:r w:rsidRPr="005C1D95">
        <w:rPr>
          <w:rFonts w:ascii="Narkisim" w:hAnsi="Narkisim" w:cs="Narkisim"/>
          <w:rtl/>
        </w:rPr>
        <w:t>א</w:t>
      </w:r>
      <w:proofErr w:type="spellEnd"/>
      <w:r w:rsidRPr="005C1D95">
        <w:rPr>
          <w:rFonts w:ascii="Narkisim" w:hAnsi="Narkisim" w:cs="Narkisim"/>
          <w:rtl/>
        </w:rPr>
        <w:t>, כ)</w:t>
      </w:r>
      <w:r w:rsidRPr="005C1D95">
        <w:rPr>
          <w:rFonts w:ascii="Narkisim" w:hAnsi="Narkisim" w:cs="Narkisim"/>
        </w:rPr>
        <w:t>.</w:t>
      </w:r>
    </w:p>
    <w:p w14:paraId="00CD14B0"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חנה הרגישה ששמואל ניתן לה בהשאלה, ועליה להחזירו לה'. ובעצם, כך צריכה להיות ההרגשה של כל אחד ואחד מאיתנו</w:t>
      </w:r>
      <w:r w:rsidRPr="005C1D95">
        <w:rPr>
          <w:rFonts w:ascii="Narkisim" w:hAnsi="Narkisim" w:cs="Narkisim"/>
        </w:rPr>
        <w:t>.</w:t>
      </w:r>
    </w:p>
    <w:p w14:paraId="569F65CC"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הקב"ה נתן לנו את החיים בהשאלה, ועלינו להשתמש בהם כראוי. אם נשתמש בהשאלה שלא כראוי, הרי שיש סבירות שהקב"ה ייקח בחזרה את הפיקדון</w:t>
      </w:r>
      <w:r w:rsidRPr="005C1D95">
        <w:rPr>
          <w:rFonts w:ascii="Narkisim" w:hAnsi="Narkisim" w:cs="Narkisim"/>
        </w:rPr>
        <w:t>.</w:t>
      </w:r>
    </w:p>
    <w:p w14:paraId="3C11365A"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אבל יותר מכך: עלינו להרגיש שאנחנו שליחי ה' בעולם הזה. ניתן לנו תפקיד, ועלינו לממש אותו. החיים ניתנו לנו לשם מטרה מסוימת, ולכל אחד ואחד יש תפקיד מיוחד שעליו למלא</w:t>
      </w:r>
      <w:r w:rsidRPr="005C1D95">
        <w:rPr>
          <w:rFonts w:ascii="Narkisim" w:hAnsi="Narkisim" w:cs="Narkisim"/>
        </w:rPr>
        <w:t>.</w:t>
      </w:r>
    </w:p>
    <w:p w14:paraId="02E6B3D2"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 xml:space="preserve">ונראה שרעיון זה בא לידי ביטוי בקריאת ספר יונה ביום הכיפורים. בספר יונה מסופר על בריחתו של יונה מנבואתו. הקב"ה נתן לו משימה – ללכת ולומר את נבואתו </w:t>
      </w:r>
      <w:proofErr w:type="spellStart"/>
      <w:r w:rsidRPr="005C1D95">
        <w:rPr>
          <w:rFonts w:ascii="Narkisim" w:hAnsi="Narkisim" w:cs="Narkisim"/>
          <w:rtl/>
        </w:rPr>
        <w:t>לנינוה</w:t>
      </w:r>
      <w:proofErr w:type="spellEnd"/>
      <w:r w:rsidRPr="005C1D95">
        <w:rPr>
          <w:rFonts w:ascii="Narkisim" w:hAnsi="Narkisim" w:cs="Narkisim"/>
          <w:rtl/>
        </w:rPr>
        <w:t xml:space="preserve"> – והוא מנסה לברוח מתפקידו. הוא חושב שיוכל ללכת לחוץ לארץ ובכך לברוח מן המשימה שהוטלה עליו</w:t>
      </w:r>
      <w:r w:rsidRPr="005C1D95">
        <w:rPr>
          <w:rFonts w:ascii="Narkisim" w:hAnsi="Narkisim" w:cs="Narkisim"/>
        </w:rPr>
        <w:t>.</w:t>
      </w:r>
    </w:p>
    <w:p w14:paraId="678D226E"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אך דווקא הליכתו לאונייה מביאה אותו בסופו של דבר להגשים את שליחותו</w:t>
      </w:r>
      <w:r w:rsidRPr="005C1D95">
        <w:rPr>
          <w:rFonts w:ascii="Narkisim" w:hAnsi="Narkisim" w:cs="Narkisim"/>
        </w:rPr>
        <w:t>.</w:t>
      </w:r>
    </w:p>
    <w:p w14:paraId="2C6EB712"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ובעצם, לכל אחד ואחד יש מעין נבואה שעליו להגשים במידה מסוימת. לכל אחד ניתנה שליחות שעליו למלא ולממש. ואוי לו לאדם שאינו ממלא את שליחותו. יהודי שאינו ממלא את שליחותו הוא כעין נביא שכבש את נבואתו</w:t>
      </w:r>
      <w:r w:rsidRPr="005C1D95">
        <w:rPr>
          <w:rFonts w:ascii="Narkisim" w:hAnsi="Narkisim" w:cs="Narkisim"/>
        </w:rPr>
        <w:t>.</w:t>
      </w:r>
    </w:p>
    <w:p w14:paraId="2E72079B"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עלינו לדעת שבוודאי התפקיד יתממש בסופו של דבר. השאלה היא מה יהיה חלקנו בכך: האם נפעל בצורה אקטיבית ומתוך רצון, או שהדברים יבואו על ידי גורם אחר – ואולי אף על ידינו, אך בלי רצוננו</w:t>
      </w:r>
      <w:r w:rsidRPr="005C1D95">
        <w:rPr>
          <w:rFonts w:ascii="Narkisim" w:hAnsi="Narkisim" w:cs="Narkisim"/>
        </w:rPr>
        <w:t>.</w:t>
      </w:r>
    </w:p>
    <w:p w14:paraId="2E0132B5" w14:textId="6EFF31F2"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פסוק יסודי המבטא רעיון זה נאמר על ידי מרדכי לאסתר (אסתר ד, יד)</w:t>
      </w:r>
      <w:r w:rsidRPr="005C1D95">
        <w:rPr>
          <w:rFonts w:ascii="Narkisim" w:hAnsi="Narkisim" w:cs="Narkisim"/>
        </w:rPr>
        <w:t>:</w:t>
      </w:r>
      <w:r>
        <w:rPr>
          <w:rFonts w:ascii="Narkisim" w:hAnsi="Narkisim" w:cs="Narkisim" w:hint="cs"/>
          <w:rtl/>
        </w:rPr>
        <w:t xml:space="preserve"> </w:t>
      </w:r>
      <w:r w:rsidRPr="005C1D95">
        <w:rPr>
          <w:rFonts w:ascii="Narkisim" w:hAnsi="Narkisim" w:cs="Narkisim"/>
        </w:rPr>
        <w:t>"</w:t>
      </w:r>
      <w:r w:rsidRPr="005C1D95">
        <w:rPr>
          <w:rFonts w:ascii="Narkisim" w:hAnsi="Narkisim" w:cs="Narkisim"/>
          <w:rtl/>
        </w:rPr>
        <w:t>כי אם החרש תחרישי בעת הזאת, רוח והצלה יעמוד ליהודים ממקום אחר, ואת ובית אביך תאבדו; ומי יודע אם לעת כזאת הגעת למלכות</w:t>
      </w:r>
      <w:r w:rsidRPr="005C1D95">
        <w:rPr>
          <w:rFonts w:ascii="Narkisim" w:hAnsi="Narkisim" w:cs="Narkisim"/>
        </w:rPr>
        <w:t>."</w:t>
      </w:r>
    </w:p>
    <w:p w14:paraId="7F031919"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אוי לו לאדם שאינו ממלא את שליחותו</w:t>
      </w:r>
      <w:r w:rsidRPr="005C1D95">
        <w:rPr>
          <w:rFonts w:ascii="Narkisim" w:hAnsi="Narkisim" w:cs="Narkisim"/>
        </w:rPr>
        <w:t>.</w:t>
      </w:r>
    </w:p>
    <w:p w14:paraId="1878CEAD"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נסיים בסיפור שלדעתי יש בו מסר חשוב הקשור לענייננו</w:t>
      </w:r>
      <w:r w:rsidRPr="005C1D95">
        <w:rPr>
          <w:rFonts w:ascii="Narkisim" w:hAnsi="Narkisim" w:cs="Narkisim"/>
        </w:rPr>
        <w:t>.</w:t>
      </w:r>
    </w:p>
    <w:p w14:paraId="6D9D90EC"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 xml:space="preserve">מסופר שרבי מרדכי </w:t>
      </w:r>
      <w:proofErr w:type="spellStart"/>
      <w:r w:rsidRPr="005C1D95">
        <w:rPr>
          <w:rFonts w:ascii="Narkisim" w:hAnsi="Narkisim" w:cs="Narkisim"/>
          <w:rtl/>
        </w:rPr>
        <w:t>פרוגרמנסקי</w:t>
      </w:r>
      <w:proofErr w:type="spellEnd"/>
      <w:r w:rsidRPr="005C1D95">
        <w:rPr>
          <w:rFonts w:ascii="Narkisim" w:hAnsi="Narkisim" w:cs="Narkisim"/>
          <w:rtl/>
        </w:rPr>
        <w:t xml:space="preserve"> נסע פעם ברכבת. לידו בקרון ישב יהודי נוסף, שהיה שוחט ומוהל. השניים החלו להחליף דברים ביניהם, ועד מהרה התפתחה ביניהם שיחה קולחת שריתקה את שניהם. הם שקעו כל כך בשיחה, עד שלא שמו לב כלל שהרכבת כבר עברה את התחנה שבה היו אמורים לרדת</w:t>
      </w:r>
      <w:r w:rsidRPr="005C1D95">
        <w:rPr>
          <w:rFonts w:ascii="Narkisim" w:hAnsi="Narkisim" w:cs="Narkisim"/>
        </w:rPr>
        <w:t>.</w:t>
      </w:r>
    </w:p>
    <w:p w14:paraId="50CD91EA"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לפתע הביט השוחט מבעד לחלון והבחין במה שקרה. היה זה יום שישי, ועד מהרה התברר לו, וגם לרבי מרדכי, שכבר לא יוכלו להגיע למחוז חפצם לקראת שבת</w:t>
      </w:r>
      <w:r w:rsidRPr="005C1D95">
        <w:rPr>
          <w:rFonts w:ascii="Narkisim" w:hAnsi="Narkisim" w:cs="Narkisim"/>
        </w:rPr>
        <w:t>.</w:t>
      </w:r>
    </w:p>
    <w:p w14:paraId="7963924D"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החל השוחט לדאוג: מה יהיה בשבת? היכן נתאכסן? היכן נאכל</w:t>
      </w:r>
      <w:r w:rsidRPr="005C1D95">
        <w:rPr>
          <w:rFonts w:ascii="Narkisim" w:hAnsi="Narkisim" w:cs="Narkisim"/>
        </w:rPr>
        <w:t>?</w:t>
      </w:r>
    </w:p>
    <w:p w14:paraId="7BF07B12"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רבי מרדכי הרגיע אותו מיד ואמר לו: יהודי אף פעם לא "תועה בדרך"! המקום שבו הוא צריך להיות – הוא בהשגחה פרטית</w:t>
      </w:r>
      <w:r w:rsidRPr="005C1D95">
        <w:rPr>
          <w:rFonts w:ascii="Narkisim" w:hAnsi="Narkisim" w:cs="Narkisim"/>
        </w:rPr>
        <w:t>.</w:t>
      </w:r>
    </w:p>
    <w:p w14:paraId="53AE5F58"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כאשר הגיעה הרכבת לתחנה הבאה, ירדו שניהם. התברר להם שזו עיירה של גויים. למרות זאת, לאחר ששאלו והתעניינו, התברר להם שיש יהודי אחד המתגורר במקום. מיד הלכו לביתו ונקשו על הדלת</w:t>
      </w:r>
      <w:r w:rsidRPr="005C1D95">
        <w:rPr>
          <w:rFonts w:ascii="Narkisim" w:hAnsi="Narkisim" w:cs="Narkisim"/>
        </w:rPr>
        <w:t>.</w:t>
      </w:r>
    </w:p>
    <w:p w14:paraId="638C8BE8"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lastRenderedPageBreak/>
        <w:t>כשפתח היהודי את הדלת וראה את שני היהודים העומדים לפניו, פרץ מיד בבכי מרוב התרגשות. הוא היה בטוח שמדובר באברהם אבינו או באליהו הנביא</w:t>
      </w:r>
      <w:r w:rsidRPr="005C1D95">
        <w:rPr>
          <w:rFonts w:ascii="Narkisim" w:hAnsi="Narkisim" w:cs="Narkisim"/>
        </w:rPr>
        <w:t>!...</w:t>
      </w:r>
    </w:p>
    <w:p w14:paraId="21E0346D"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 xml:space="preserve">היהודי לא ידע מה לעשות עם האורחים הבלתי צפויים </w:t>
      </w:r>
      <w:proofErr w:type="spellStart"/>
      <w:r w:rsidRPr="005C1D95">
        <w:rPr>
          <w:rFonts w:ascii="Narkisim" w:hAnsi="Narkisim" w:cs="Narkisim"/>
          <w:rtl/>
        </w:rPr>
        <w:t>שנזדמנו</w:t>
      </w:r>
      <w:proofErr w:type="spellEnd"/>
      <w:r w:rsidRPr="005C1D95">
        <w:rPr>
          <w:rFonts w:ascii="Narkisim" w:hAnsi="Narkisim" w:cs="Narkisim"/>
          <w:rtl/>
        </w:rPr>
        <w:t xml:space="preserve"> לפתחו. הוא קרא להם בשמחה למהר ולהיכנס, וסיפר להם את אשר אירע לו: לפני שבוע נולד לו בן, והיום הוא היום השמיני ללידתו. כל היום הוא מתפלל ובוכה לה' שיזמן לו מישהו שימול את הילד</w:t>
      </w:r>
      <w:r w:rsidRPr="005C1D95">
        <w:rPr>
          <w:rFonts w:ascii="Narkisim" w:hAnsi="Narkisim" w:cs="Narkisim"/>
        </w:rPr>
        <w:t>.</w:t>
      </w:r>
    </w:p>
    <w:p w14:paraId="3147F7B7"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ואכן, השוחט והמוהל מל את הילד, ורבי מרדכי היה הסנדק. כמובן, נשארו השניים אצל אותו יהודי במשך כל השבת</w:t>
      </w:r>
      <w:r w:rsidRPr="005C1D95">
        <w:rPr>
          <w:rFonts w:ascii="Narkisim" w:hAnsi="Narkisim" w:cs="Narkisim"/>
        </w:rPr>
        <w:t>.</w:t>
      </w:r>
    </w:p>
    <w:p w14:paraId="30F6F136"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כאשר נפרדו לשלום מבעל הבית ויצאו משם, אמר רבי מרדכי לשוחט: "רואה אתה? יהודי לא 'תועה</w:t>
      </w:r>
      <w:r w:rsidRPr="005C1D95">
        <w:rPr>
          <w:rFonts w:ascii="Narkisim" w:hAnsi="Narkisim" w:cs="Narkisim"/>
        </w:rPr>
        <w:t>'!"</w:t>
      </w:r>
    </w:p>
    <w:p w14:paraId="0C907445"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אפשר לראות את הסיפור כמעשה ניסים וכהשגחה פרטית מיוחדת. אבל נראה לי שאפשר ללמוד ממנו מסר חשוב לחיים</w:t>
      </w:r>
      <w:r w:rsidRPr="005C1D95">
        <w:rPr>
          <w:rFonts w:ascii="Narkisim" w:hAnsi="Narkisim" w:cs="Narkisim"/>
        </w:rPr>
        <w:t>.</w:t>
      </w:r>
    </w:p>
    <w:p w14:paraId="1CC931C4" w14:textId="77777777" w:rsidR="005C1D95" w:rsidRPr="005C1D95" w:rsidRDefault="005C1D95" w:rsidP="005C1D95">
      <w:pPr>
        <w:spacing w:before="120" w:after="120" w:line="360" w:lineRule="auto"/>
        <w:jc w:val="both"/>
        <w:rPr>
          <w:rFonts w:ascii="Narkisim" w:hAnsi="Narkisim" w:cs="Narkisim"/>
        </w:rPr>
      </w:pPr>
      <w:r w:rsidRPr="005C1D95">
        <w:rPr>
          <w:rFonts w:ascii="Narkisim" w:hAnsi="Narkisim" w:cs="Narkisim"/>
          <w:rtl/>
        </w:rPr>
        <w:t>יהודי, בכל מצב שבו הוא נמצא, צריך לראות כיצד הוא יכול לעבוד את ה'. כיצד הוא יכול להיות שליח של ה'. לכן יהודי אינו "תועה בדרך". לא משנה היכן הוא נמצא – הוא נמצא במקום שבו הוא צריך להיות, משום שגם במקום הזה הוא יכול למלא את תפקידו</w:t>
      </w:r>
      <w:r w:rsidRPr="005C1D95">
        <w:rPr>
          <w:rFonts w:ascii="Narkisim" w:hAnsi="Narkisim" w:cs="Narkisim"/>
        </w:rPr>
        <w:t>.</w:t>
      </w:r>
    </w:p>
    <w:p w14:paraId="6D86F69B" w14:textId="1BC114E9" w:rsidR="005C1D95" w:rsidRDefault="005C1D95" w:rsidP="005C1D95">
      <w:pPr>
        <w:spacing w:before="120" w:after="120" w:line="360" w:lineRule="auto"/>
        <w:jc w:val="both"/>
        <w:rPr>
          <w:rFonts w:ascii="Narkisim" w:hAnsi="Narkisim" w:cs="Narkisim"/>
          <w:rtl/>
        </w:rPr>
      </w:pPr>
      <w:r w:rsidRPr="005C1D95">
        <w:rPr>
          <w:rFonts w:ascii="Narkisim" w:hAnsi="Narkisim" w:cs="Narkisim"/>
          <w:rtl/>
        </w:rPr>
        <w:t>תפקידו של יהודי הוא להיות שליח ה</w:t>
      </w:r>
      <w:r w:rsidR="00FF2278">
        <w:rPr>
          <w:rFonts w:ascii="Narkisim" w:hAnsi="Narkisim" w:cs="Narkisim" w:hint="cs"/>
          <w:rtl/>
        </w:rPr>
        <w:t xml:space="preserve">'. </w:t>
      </w:r>
    </w:p>
    <w:p w14:paraId="4E7F38D2" w14:textId="77777777" w:rsidR="00FF2278" w:rsidRDefault="00FF2278" w:rsidP="005C1D95">
      <w:pPr>
        <w:spacing w:before="120" w:after="120" w:line="360" w:lineRule="auto"/>
        <w:jc w:val="both"/>
        <w:rPr>
          <w:rFonts w:ascii="Narkisim" w:hAnsi="Narkisim" w:cs="Narkisim"/>
          <w:rtl/>
        </w:rPr>
      </w:pPr>
    </w:p>
    <w:p w14:paraId="4E0927F1" w14:textId="77777777" w:rsidR="00FF2278" w:rsidRPr="00FF2278" w:rsidRDefault="00FF2278" w:rsidP="00FF2278">
      <w:pPr>
        <w:spacing w:before="120" w:after="120" w:line="360" w:lineRule="auto"/>
        <w:jc w:val="both"/>
        <w:rPr>
          <w:rFonts w:ascii="Narkisim" w:hAnsi="Narkisim" w:cs="Narkisim"/>
          <w:b/>
          <w:bCs/>
          <w:sz w:val="28"/>
          <w:szCs w:val="28"/>
        </w:rPr>
      </w:pPr>
      <w:r w:rsidRPr="00FF2278">
        <w:rPr>
          <w:rFonts w:ascii="Narkisim" w:hAnsi="Narkisim" w:cs="Narkisim"/>
          <w:b/>
          <w:bCs/>
          <w:sz w:val="28"/>
          <w:szCs w:val="28"/>
          <w:rtl/>
        </w:rPr>
        <w:t>ראש השנה ובכייתה של אם סיסרא</w:t>
      </w:r>
    </w:p>
    <w:p w14:paraId="504E27A2"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 xml:space="preserve">מצוות היום של ראש השנה היא תקיעת השופר. כולנו מתרגשים לשמוע את קול השופר. אפילו נשים, שפטורות ממצוות עשה שהזמן </w:t>
      </w:r>
      <w:proofErr w:type="spellStart"/>
      <w:r w:rsidRPr="00FF2278">
        <w:rPr>
          <w:rFonts w:ascii="Narkisim" w:hAnsi="Narkisim" w:cs="Narkisim"/>
          <w:rtl/>
        </w:rPr>
        <w:t>גרמא</w:t>
      </w:r>
      <w:proofErr w:type="spellEnd"/>
      <w:r w:rsidRPr="00FF2278">
        <w:rPr>
          <w:rFonts w:ascii="Narkisim" w:hAnsi="Narkisim" w:cs="Narkisim"/>
          <w:rtl/>
        </w:rPr>
        <w:t xml:space="preserve"> ופטורות מעיקר הדין משמיעת קול שופר, נוהגות ללכת לבית הכנסת ולשמוע את התקיעות</w:t>
      </w:r>
      <w:r w:rsidRPr="00FF2278">
        <w:rPr>
          <w:rFonts w:ascii="Narkisim" w:hAnsi="Narkisim" w:cs="Narkisim"/>
        </w:rPr>
        <w:t>.</w:t>
      </w:r>
    </w:p>
    <w:p w14:paraId="61535EF2"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המנהג המקובל הוא לתקוע מאה תקיעות. מעיקר הדין לא היינו צריכים לתקוע מאה תקיעות, ומדין דרבנן מוטל עלינו לתקוע שישים תקיעות. מדוע הוסיפו עוד ארבעים תקיעות? יש שהסבירו שהן כנגד מאה היבבות של אם סיסרא, כאשר המתינה לבואו של בנה סיסרא</w:t>
      </w:r>
      <w:r w:rsidRPr="00FF2278">
        <w:rPr>
          <w:rFonts w:ascii="Narkisim" w:hAnsi="Narkisim" w:cs="Narkisim"/>
        </w:rPr>
        <w:t>.</w:t>
      </w:r>
    </w:p>
    <w:p w14:paraId="566E55BC"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אך כאן עולה שאלה: מדוע עלינו בראש השנה לזכור את בכיותיה של אם סיסרא? מה עניין בכיותיה של אם סיסרא לראש השנה ולתקיעת השופר</w:t>
      </w:r>
      <w:r w:rsidRPr="00FF2278">
        <w:rPr>
          <w:rFonts w:ascii="Narkisim" w:hAnsi="Narkisim" w:cs="Narkisim"/>
        </w:rPr>
        <w:t>?</w:t>
      </w:r>
    </w:p>
    <w:p w14:paraId="61DBF5BF"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כדי להשיב על שאלה זו, נעמוד תחילה על נקודה נוספת – טעם תקיעת השופר</w:t>
      </w:r>
      <w:r w:rsidRPr="00FF2278">
        <w:rPr>
          <w:rFonts w:ascii="Narkisim" w:hAnsi="Narkisim" w:cs="Narkisim"/>
        </w:rPr>
        <w:t>.</w:t>
      </w:r>
    </w:p>
    <w:p w14:paraId="26E18709"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ניתנו טעמים רבים לתקיעת השופר. ברצוני לעמוד על שלושה טעמים מרכזיים</w:t>
      </w:r>
      <w:r w:rsidRPr="00FF2278">
        <w:rPr>
          <w:rFonts w:ascii="Narkisim" w:hAnsi="Narkisim" w:cs="Narkisim"/>
        </w:rPr>
        <w:t>.</w:t>
      </w:r>
    </w:p>
    <w:p w14:paraId="35062ED3"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יש שביארו שטעם התקיעה הוא משום שביום זה אנו ממליכים את הקב"ה. כאשר ממליכים מלך, נוהגים לתקוע בשופר לכבוד המלכתו. כך גם בראש השנה – אנו ממליכים את הקב"ה, ותקיעת השופר מבטאת את המלכתו</w:t>
      </w:r>
      <w:r w:rsidRPr="00FF2278">
        <w:rPr>
          <w:rFonts w:ascii="Narkisim" w:hAnsi="Narkisim" w:cs="Narkisim"/>
        </w:rPr>
        <w:t>.</w:t>
      </w:r>
    </w:p>
    <w:p w14:paraId="493F243A"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טעם נוסף הוזכר בדברי הרמב"ם (הלכות תשובה, פרק ג): תקיעת השופר באה לעורר אותנו משנתנו ולעורר אותנו לתשובה</w:t>
      </w:r>
      <w:r w:rsidRPr="00FF2278">
        <w:rPr>
          <w:rFonts w:ascii="Narkisim" w:hAnsi="Narkisim" w:cs="Narkisim"/>
        </w:rPr>
        <w:t>.</w:t>
      </w:r>
    </w:p>
    <w:p w14:paraId="165D9B2A"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טעם נוסף הוא שהתקיעה מבטאת את הבכייה ואת הצער שלנו על המצב שבו אנו נמצאים</w:t>
      </w:r>
      <w:r w:rsidRPr="00FF2278">
        <w:rPr>
          <w:rFonts w:ascii="Narkisim" w:hAnsi="Narkisim" w:cs="Narkisim"/>
        </w:rPr>
        <w:t>.</w:t>
      </w:r>
    </w:p>
    <w:p w14:paraId="201668C9"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לדעתי, אפשר לחבר בין שלושת הטעמים הללו ולומר שהם מרומזים בסדר התקיעות – תקיעה, תרועה ותקיעה</w:t>
      </w:r>
      <w:r w:rsidRPr="00FF2278">
        <w:rPr>
          <w:rFonts w:ascii="Narkisim" w:hAnsi="Narkisim" w:cs="Narkisim"/>
        </w:rPr>
        <w:t>.</w:t>
      </w:r>
    </w:p>
    <w:p w14:paraId="2B4AB404"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התקיעה הראשונה היא תקיעה של המלכת הקב"ה. אנו עומדים בראש השנה ומכריזים על מלכותו של הקב"ה</w:t>
      </w:r>
      <w:r w:rsidRPr="00FF2278">
        <w:rPr>
          <w:rFonts w:ascii="Narkisim" w:hAnsi="Narkisim" w:cs="Narkisim"/>
        </w:rPr>
        <w:t>.</w:t>
      </w:r>
    </w:p>
    <w:p w14:paraId="6BE8B978"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lastRenderedPageBreak/>
        <w:t>כנגד התקיעה הזו באה התקיעה האחרונה, כביכול הקב"ה שואל אותנו: האם באמת אנחנו ממליכים אותו? האם באמת אנחנו רוצים להמליך את הקב"ה? האם המעשים שלנו מתאימים להמלכתו של הקב"ה</w:t>
      </w:r>
      <w:r w:rsidRPr="00FF2278">
        <w:rPr>
          <w:rFonts w:ascii="Narkisim" w:hAnsi="Narkisim" w:cs="Narkisim"/>
        </w:rPr>
        <w:t>?</w:t>
      </w:r>
    </w:p>
    <w:p w14:paraId="5A201D63"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זוהי התקיעה שמעוררת אותנו מן השינה. היא מחייבת אותנו לעצור ולבחון את עצמנו</w:t>
      </w:r>
      <w:r w:rsidRPr="00FF2278">
        <w:rPr>
          <w:rFonts w:ascii="Narkisim" w:hAnsi="Narkisim" w:cs="Narkisim"/>
        </w:rPr>
        <w:t>.</w:t>
      </w:r>
    </w:p>
    <w:p w14:paraId="1D145547"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ומתוך שתי התקיעות הללו באה התרועה – הבכייה שלנו על המצב שבו אנו נמצאים</w:t>
      </w:r>
      <w:r w:rsidRPr="00FF2278">
        <w:rPr>
          <w:rFonts w:ascii="Narkisim" w:hAnsi="Narkisim" w:cs="Narkisim"/>
        </w:rPr>
        <w:t>.</w:t>
      </w:r>
    </w:p>
    <w:p w14:paraId="3018575E"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הבכייה הזו מבטאת את הרצון האמיתי שלנו להיות טובים יותר ולהמליך את הקב"ה בחיינו</w:t>
      </w:r>
      <w:r w:rsidRPr="00FF2278">
        <w:rPr>
          <w:rFonts w:ascii="Narkisim" w:hAnsi="Narkisim" w:cs="Narkisim"/>
        </w:rPr>
        <w:t>.</w:t>
      </w:r>
    </w:p>
    <w:p w14:paraId="130454AE"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אם סיסרא בכתה, אף על פי שבכייתה לא הועילה דבר. הבכי שלה בוודאי לא היה יכול לגרום לסיסרא לחזור. אך כאשר לאדם כואב – הוא בוכה</w:t>
      </w:r>
      <w:r w:rsidRPr="00FF2278">
        <w:rPr>
          <w:rFonts w:ascii="Narkisim" w:hAnsi="Narkisim" w:cs="Narkisim"/>
        </w:rPr>
        <w:t>.</w:t>
      </w:r>
    </w:p>
    <w:p w14:paraId="28314119"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כך גם ביחס אלינו בראש השנה. פעמים רבות אנו מקבלים על עצמנו לתקן את מעשינו, אך לאחר שהימים הנוראים חולפים, אנו חוזרים שוב למעשינו ולהרגלים הישנים</w:t>
      </w:r>
      <w:r w:rsidRPr="00FF2278">
        <w:rPr>
          <w:rFonts w:ascii="Narkisim" w:hAnsi="Narkisim" w:cs="Narkisim"/>
        </w:rPr>
        <w:t>.</w:t>
      </w:r>
    </w:p>
    <w:p w14:paraId="049B242B"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לכן אנו באים ואומרים: לפחות נבכה על הדבר. הבכייה תבטא את הצער שלנו על המצב שבו אנו נמצאים. היא תבטא את הרצון האמיתי שלנו להשתנות, גם אם איננו תמיד מצליחים להביא את הרצון הזה לידי פעולה</w:t>
      </w:r>
      <w:r w:rsidRPr="00FF2278">
        <w:rPr>
          <w:rFonts w:ascii="Narkisim" w:hAnsi="Narkisim" w:cs="Narkisim"/>
        </w:rPr>
        <w:t>.</w:t>
      </w:r>
    </w:p>
    <w:p w14:paraId="4EC72F0E"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ייתכן שלא תמיד נצליח מיד לתקן את הכול. ייתכן שהקבלה שאנו מקבלים על עצמנו לא תעמוד בכל ימות השנה. אבל לפחות כדאי שנבכה על כך. לפחות שנרגיש את הכאב. לפחות שנדע שאיננו משלימים עם המצב שבו אנו נמצאים</w:t>
      </w:r>
      <w:r w:rsidRPr="00FF2278">
        <w:rPr>
          <w:rFonts w:ascii="Narkisim" w:hAnsi="Narkisim" w:cs="Narkisim"/>
        </w:rPr>
        <w:t>.</w:t>
      </w:r>
    </w:p>
    <w:p w14:paraId="4A651715"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וזהו אולי עניינה של התרועה: היא אינה רק קול של שבירה, אלא גם ביטוי לרצון פנימי עמוק – הרצון להיות טובים יותר, להתקרב אל הקב"ה ולהמליך אותו באמת על חיינו</w:t>
      </w:r>
      <w:r w:rsidRPr="00FF2278">
        <w:rPr>
          <w:rFonts w:ascii="Narkisim" w:hAnsi="Narkisim" w:cs="Narkisim"/>
        </w:rPr>
        <w:t>.</w:t>
      </w:r>
    </w:p>
    <w:p w14:paraId="23336928" w14:textId="77777777" w:rsidR="00FF2278" w:rsidRPr="00FF2278" w:rsidRDefault="00FF2278" w:rsidP="00FF2278">
      <w:pPr>
        <w:spacing w:before="120" w:after="120" w:line="360" w:lineRule="auto"/>
        <w:jc w:val="both"/>
        <w:rPr>
          <w:rFonts w:ascii="Narkisim" w:hAnsi="Narkisim" w:cs="Narkisim"/>
        </w:rPr>
      </w:pPr>
      <w:r w:rsidRPr="00FF2278">
        <w:rPr>
          <w:rFonts w:ascii="Narkisim" w:hAnsi="Narkisim" w:cs="Narkisim"/>
          <w:rtl/>
        </w:rPr>
        <w:t>שנזכה לשנה מבורכת, לשנה של התעוררות ותיקון המעשים</w:t>
      </w:r>
      <w:r w:rsidRPr="00FF2278">
        <w:rPr>
          <w:rFonts w:ascii="Narkisim" w:hAnsi="Narkisim" w:cs="Narkisim"/>
        </w:rPr>
        <w:t>.</w:t>
      </w:r>
    </w:p>
    <w:p w14:paraId="67AEC1D6" w14:textId="77777777" w:rsidR="00FF2278" w:rsidRDefault="00FF2278" w:rsidP="005C1D95">
      <w:pPr>
        <w:spacing w:before="120" w:after="120" w:line="360" w:lineRule="auto"/>
        <w:jc w:val="both"/>
        <w:rPr>
          <w:rFonts w:ascii="Narkisim" w:hAnsi="Narkisim" w:cs="Narkisim"/>
          <w:rtl/>
        </w:rPr>
      </w:pPr>
    </w:p>
    <w:p w14:paraId="7A1B1AFC" w14:textId="77777777" w:rsidR="00D521C7" w:rsidRPr="00D521C7" w:rsidRDefault="00D521C7" w:rsidP="00D521C7">
      <w:pPr>
        <w:spacing w:before="120" w:after="120" w:line="360" w:lineRule="auto"/>
        <w:jc w:val="both"/>
        <w:rPr>
          <w:rFonts w:ascii="Narkisim" w:hAnsi="Narkisim" w:cs="Narkisim"/>
          <w:b/>
          <w:bCs/>
          <w:sz w:val="28"/>
          <w:szCs w:val="28"/>
        </w:rPr>
      </w:pPr>
      <w:r w:rsidRPr="00D521C7">
        <w:rPr>
          <w:rFonts w:ascii="Narkisim" w:hAnsi="Narkisim" w:cs="Narkisim"/>
          <w:b/>
          <w:bCs/>
          <w:sz w:val="28"/>
          <w:szCs w:val="28"/>
          <w:rtl/>
        </w:rPr>
        <w:t>מנהג הסימנים בראש השנה</w:t>
      </w:r>
    </w:p>
    <w:p w14:paraId="7CE72257" w14:textId="740E4BCE"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בשתי גמרו</w:t>
      </w:r>
      <w:r>
        <w:rPr>
          <w:rFonts w:ascii="Narkisim" w:hAnsi="Narkisim" w:cs="Narkisim" w:hint="cs"/>
          <w:rtl/>
        </w:rPr>
        <w:t>ת</w:t>
      </w:r>
      <w:r>
        <w:rPr>
          <w:rStyle w:val="af0"/>
          <w:rFonts w:ascii="Narkisim" w:hAnsi="Narkisim" w:cs="Narkisim"/>
          <w:rtl/>
        </w:rPr>
        <w:footnoteReference w:id="1"/>
      </w:r>
      <w:r>
        <w:rPr>
          <w:rFonts w:ascii="Narkisim" w:hAnsi="Narkisim" w:cs="Narkisim" w:hint="cs"/>
          <w:rtl/>
        </w:rPr>
        <w:t xml:space="preserve"> </w:t>
      </w:r>
      <w:r w:rsidRPr="00D521C7">
        <w:rPr>
          <w:rFonts w:ascii="Narkisim" w:hAnsi="Narkisim" w:cs="Narkisim"/>
          <w:rtl/>
        </w:rPr>
        <w:t>הוזכר המנהג להביא פירות בראש השנה כסימן לשנה טובה. אולם, יש חילוק בגרסאות שבין שתי הגמרות. בגמרא אח</w:t>
      </w:r>
      <w:r>
        <w:rPr>
          <w:rFonts w:ascii="Narkisim" w:hAnsi="Narkisim" w:cs="Narkisim" w:hint="cs"/>
          <w:rtl/>
        </w:rPr>
        <w:t>ת</w:t>
      </w:r>
      <w:r>
        <w:rPr>
          <w:rStyle w:val="af0"/>
          <w:rFonts w:ascii="Narkisim" w:hAnsi="Narkisim" w:cs="Narkisim"/>
          <w:rtl/>
        </w:rPr>
        <w:footnoteReference w:id="2"/>
      </w:r>
      <w:r>
        <w:rPr>
          <w:rFonts w:ascii="Narkisim" w:hAnsi="Narkisim" w:cs="Narkisim" w:hint="cs"/>
          <w:rtl/>
        </w:rPr>
        <w:t xml:space="preserve"> </w:t>
      </w:r>
      <w:r w:rsidRPr="00D521C7">
        <w:rPr>
          <w:rFonts w:ascii="Narkisim" w:hAnsi="Narkisim" w:cs="Narkisim"/>
          <w:rtl/>
        </w:rPr>
        <w:t>נאמר שאוכלים את הפירות, ואילו בגמרא השניי</w:t>
      </w:r>
      <w:r>
        <w:rPr>
          <w:rFonts w:ascii="Narkisim" w:hAnsi="Narkisim" w:cs="Narkisim" w:hint="cs"/>
          <w:rtl/>
        </w:rPr>
        <w:t>ה</w:t>
      </w:r>
      <w:r>
        <w:rPr>
          <w:rStyle w:val="af0"/>
          <w:rFonts w:ascii="Narkisim" w:hAnsi="Narkisim" w:cs="Narkisim"/>
          <w:rtl/>
        </w:rPr>
        <w:footnoteReference w:id="3"/>
      </w:r>
      <w:r>
        <w:rPr>
          <w:rFonts w:ascii="Narkisim" w:hAnsi="Narkisim" w:cs="Narkisim" w:hint="cs"/>
          <w:rtl/>
        </w:rPr>
        <w:t xml:space="preserve"> </w:t>
      </w:r>
      <w:r w:rsidRPr="00D521C7">
        <w:rPr>
          <w:rFonts w:ascii="Narkisim" w:hAnsi="Narkisim" w:cs="Narkisim"/>
          <w:rtl/>
        </w:rPr>
        <w:t>נאמר שרואים את הפירות, ומשמע שאין אוכלים אותם</w:t>
      </w:r>
      <w:r w:rsidRPr="00D521C7">
        <w:rPr>
          <w:rFonts w:ascii="Narkisim" w:hAnsi="Narkisim" w:cs="Narkisim"/>
        </w:rPr>
        <w:t>.</w:t>
      </w:r>
    </w:p>
    <w:p w14:paraId="4A1D59EB" w14:textId="72F0804E"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רבים דנו בשאלה מדוע אין בהבאת פירות אלו משום איסור ניחוש</w:t>
      </w:r>
      <w:r w:rsidRPr="00D521C7">
        <w:rPr>
          <w:rFonts w:ascii="Narkisim" w:hAnsi="Narkisim" w:cs="Narkisim"/>
        </w:rPr>
        <w:t>.</w:t>
      </w:r>
      <w:r>
        <w:rPr>
          <w:rStyle w:val="af0"/>
          <w:rFonts w:ascii="Narkisim" w:hAnsi="Narkisim" w:cs="Narkisim"/>
        </w:rPr>
        <w:footnoteReference w:id="4"/>
      </w:r>
      <w:r>
        <w:rPr>
          <w:rFonts w:ascii="Narkisim" w:hAnsi="Narkisim" w:cs="Narkisim" w:hint="cs"/>
          <w:rtl/>
        </w:rPr>
        <w:t xml:space="preserve"> </w:t>
      </w:r>
      <w:r w:rsidRPr="00D521C7">
        <w:rPr>
          <w:rFonts w:ascii="Narkisim" w:hAnsi="Narkisim" w:cs="Narkisim"/>
          <w:rtl/>
        </w:rPr>
        <w:t>נוסף על כך, דנו בשאלה מהי התועלת בהבאת הסימנים. וכי משום שהביא את הפירות הללו יזכה לשנה טובה</w:t>
      </w:r>
      <w:r w:rsidRPr="00D521C7">
        <w:rPr>
          <w:rFonts w:ascii="Narkisim" w:hAnsi="Narkisim" w:cs="Narkisim"/>
        </w:rPr>
        <w:t>?</w:t>
      </w:r>
    </w:p>
    <w:p w14:paraId="5FBD03B4" w14:textId="1306D083"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lastRenderedPageBreak/>
        <w:t>ר' מנחם המאירי</w:t>
      </w:r>
      <w:r w:rsidR="00334C1B">
        <w:rPr>
          <w:rStyle w:val="af0"/>
          <w:rFonts w:ascii="Narkisim" w:hAnsi="Narkisim" w:cs="Narkisim"/>
        </w:rPr>
        <w:footnoteReference w:id="5"/>
      </w:r>
      <w:r w:rsidR="00334C1B">
        <w:rPr>
          <w:rFonts w:ascii="Narkisim" w:hAnsi="Narkisim" w:cs="Narkisim" w:hint="cs"/>
          <w:rtl/>
        </w:rPr>
        <w:t xml:space="preserve"> </w:t>
      </w:r>
      <w:r w:rsidRPr="00D521C7">
        <w:rPr>
          <w:rFonts w:ascii="Narkisim" w:hAnsi="Narkisim" w:cs="Narkisim"/>
          <w:rtl/>
        </w:rPr>
        <w:t>הסביר שהסימנים באים לעורר את האדם להתנהג בצורה טובה. נראה שכוונת הדברים היא שהסימנים מזכירים לאדם את הדברים שהוא מבקש לעצמו. מתוך כך הוא מבין שעליו לתקן את צורת התנהגותו, כדי שהקב"ה ישפיע עליו טובה</w:t>
      </w:r>
      <w:r w:rsidRPr="00D521C7">
        <w:rPr>
          <w:rFonts w:ascii="Narkisim" w:hAnsi="Narkisim" w:cs="Narkisim"/>
        </w:rPr>
        <w:t>.</w:t>
      </w:r>
    </w:p>
    <w:p w14:paraId="7143F5C4" w14:textId="2E3243E2"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כדי שהקב"ה ישפיע עלינו לטובה, עלינו לתקן את מעשינו. הסימנים כשלעצמם אינם מועילים ואינם פועלים דבר. רק אם נתקן את מעשינו, הקב"ה ישפיע עלינו לטובה. אמירת תפילה על הסימנים נועדה, בין השאר, למנוע את המחשבה שיש כאן משום ניחוש. הסימנים באים לעורר את האדם לפעולה ולתפילה, ועל ידיהן הקב"ה ישפיע עלינו לטוב</w:t>
      </w:r>
      <w:r w:rsidR="00EC1AEF">
        <w:rPr>
          <w:rFonts w:ascii="Narkisim" w:hAnsi="Narkisim" w:cs="Narkisim" w:hint="cs"/>
          <w:rtl/>
        </w:rPr>
        <w:t>ה</w:t>
      </w:r>
      <w:r w:rsidR="00EC1AEF">
        <w:rPr>
          <w:rStyle w:val="af0"/>
          <w:rFonts w:ascii="Narkisim" w:hAnsi="Narkisim" w:cs="Narkisim"/>
          <w:rtl/>
        </w:rPr>
        <w:footnoteReference w:id="6"/>
      </w:r>
      <w:r w:rsidR="00EC1AEF">
        <w:rPr>
          <w:rFonts w:ascii="Narkisim" w:hAnsi="Narkisim" w:cs="Narkisim" w:hint="cs"/>
          <w:rtl/>
        </w:rPr>
        <w:t xml:space="preserve">. </w:t>
      </w:r>
    </w:p>
    <w:p w14:paraId="57385730"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נראה לי שיש מקום להוסיף עוד כמה הסברים ליסוד מנהג זה ולהיגיון העומד מאחוריו</w:t>
      </w:r>
      <w:r w:rsidRPr="00D521C7">
        <w:rPr>
          <w:rFonts w:ascii="Narkisim" w:hAnsi="Narkisim" w:cs="Narkisim"/>
        </w:rPr>
        <w:t>.</w:t>
      </w:r>
    </w:p>
    <w:p w14:paraId="6A0825FA"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 xml:space="preserve">הסבר ראשון מבוסס על כך שראש השנה הוא יום דין, ודבר זה בוודאי גורם לאנשים רבים פחד ואימה. עד כדי כך שמצאנו שבזמן הגאונים והראשונים היו שנהגו להתענות בימים אלו (עיין טור ובית יוסף, אורח חיים, סימן </w:t>
      </w:r>
      <w:proofErr w:type="spellStart"/>
      <w:r w:rsidRPr="00D521C7">
        <w:rPr>
          <w:rFonts w:ascii="Narkisim" w:hAnsi="Narkisim" w:cs="Narkisim"/>
          <w:rtl/>
        </w:rPr>
        <w:t>תקצז</w:t>
      </w:r>
      <w:proofErr w:type="spellEnd"/>
      <w:r w:rsidRPr="00D521C7">
        <w:rPr>
          <w:rFonts w:ascii="Narkisim" w:hAnsi="Narkisim" w:cs="Narkisim"/>
          <w:rtl/>
        </w:rPr>
        <w:t>)</w:t>
      </w:r>
      <w:r w:rsidRPr="00D521C7">
        <w:rPr>
          <w:rFonts w:ascii="Narkisim" w:hAnsi="Narkisim" w:cs="Narkisim"/>
        </w:rPr>
        <w:t>.</w:t>
      </w:r>
    </w:p>
    <w:p w14:paraId="55A5D4B1"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כדי להרגיע את האנשים, נהגו לעשות את הסימנים, ובכך להביא אותם להרגשה שהקב"ה ישפיע עליהם טובה. כלומר, עצם הבאת הסימנים בוודאי אינה גורמת להשפעה טובה, אך כדי להרגיע את ההמון ולהביא אותו לידי שמחה, נהגו לעשות סימנים אלו</w:t>
      </w:r>
      <w:r w:rsidRPr="00D521C7">
        <w:rPr>
          <w:rFonts w:ascii="Narkisim" w:hAnsi="Narkisim" w:cs="Narkisim"/>
        </w:rPr>
        <w:t>.</w:t>
      </w:r>
    </w:p>
    <w:p w14:paraId="55DD6137"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יש חשיבות לכך שבראש השנה נהיה בשמחה, שהרי זהו יום המלכת ה'. אמנם ראש השנה הוא יום דין, אך יחד עם זאת עלינו להיות בשמחה</w:t>
      </w:r>
      <w:r w:rsidRPr="00D521C7">
        <w:rPr>
          <w:rFonts w:ascii="Narkisim" w:hAnsi="Narkisim" w:cs="Narkisim"/>
        </w:rPr>
        <w:t>.</w:t>
      </w:r>
    </w:p>
    <w:p w14:paraId="51B89F67"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עוד אפשר להסביר שיסוד המנהג הוא לגרום לכך שהילדים יהיו קשורים ליום. אכילת הסימנים גורמת לילדים להתעניין ולשמוח ביום. אפשר להוסיף שעל ידי עשיית הסימנים הילדים נשארים ערים לסעודת הלילה ושמחים בהמלכת הקב"ה</w:t>
      </w:r>
      <w:r w:rsidRPr="00D521C7">
        <w:rPr>
          <w:rFonts w:ascii="Narkisim" w:hAnsi="Narkisim" w:cs="Narkisim"/>
        </w:rPr>
        <w:t>.</w:t>
      </w:r>
    </w:p>
    <w:p w14:paraId="32C81866"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לפי זה, עיקר הבאת הסימנים הוא בשביל הילדים</w:t>
      </w:r>
      <w:r w:rsidRPr="00D521C7">
        <w:rPr>
          <w:rFonts w:ascii="Narkisim" w:hAnsi="Narkisim" w:cs="Narkisim"/>
        </w:rPr>
        <w:t>.</w:t>
      </w:r>
    </w:p>
    <w:p w14:paraId="1DBFE8FC" w14:textId="60BCE571"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אנו מוצאים בדברי הראשונים שני מנהגים בנוגע להבאת הסימנים. יש שכתב</w:t>
      </w:r>
      <w:r w:rsidR="00074FDD">
        <w:rPr>
          <w:rFonts w:ascii="Narkisim" w:hAnsi="Narkisim" w:cs="Narkisim" w:hint="cs"/>
          <w:rtl/>
        </w:rPr>
        <w:t>ו</w:t>
      </w:r>
      <w:r w:rsidR="00074FDD">
        <w:rPr>
          <w:rStyle w:val="af0"/>
          <w:rFonts w:ascii="Narkisim" w:hAnsi="Narkisim" w:cs="Narkisim"/>
          <w:rtl/>
        </w:rPr>
        <w:footnoteReference w:id="7"/>
      </w:r>
      <w:r w:rsidR="00074FDD">
        <w:rPr>
          <w:rFonts w:ascii="Narkisim" w:hAnsi="Narkisim" w:cs="Narkisim" w:hint="cs"/>
          <w:rtl/>
        </w:rPr>
        <w:t xml:space="preserve"> </w:t>
      </w:r>
      <w:r w:rsidRPr="00D521C7">
        <w:rPr>
          <w:rFonts w:ascii="Narkisim" w:hAnsi="Narkisim" w:cs="Narkisim"/>
          <w:rtl/>
        </w:rPr>
        <w:t>שאוכלים את הסימנים, ויש שכתבו</w:t>
      </w:r>
      <w:r w:rsidR="00074FDD">
        <w:rPr>
          <w:rStyle w:val="af0"/>
          <w:rFonts w:ascii="Narkisim" w:hAnsi="Narkisim" w:cs="Narkisim"/>
          <w:rtl/>
        </w:rPr>
        <w:footnoteReference w:id="8"/>
      </w:r>
      <w:r w:rsidR="00074FDD">
        <w:rPr>
          <w:rFonts w:ascii="Narkisim" w:hAnsi="Narkisim" w:cs="Narkisim" w:hint="cs"/>
          <w:rtl/>
        </w:rPr>
        <w:t xml:space="preserve"> </w:t>
      </w:r>
      <w:r w:rsidRPr="00D521C7">
        <w:rPr>
          <w:rFonts w:ascii="Narkisim" w:hAnsi="Narkisim" w:cs="Narkisim"/>
          <w:rtl/>
        </w:rPr>
        <w:t>שמביאים את הסימנים לשולחן, ולא הזכירו שאוכלים אותם</w:t>
      </w:r>
      <w:r w:rsidRPr="00D521C7">
        <w:rPr>
          <w:rFonts w:ascii="Narkisim" w:hAnsi="Narkisim" w:cs="Narkisim"/>
        </w:rPr>
        <w:t>.</w:t>
      </w:r>
    </w:p>
    <w:p w14:paraId="6659C9BC"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בגמרא לא הוזכרה אמירת "יהי רצון" קודם אכילת הירקות והפירות, אבל בעל הטור הזכיר אמירה על כל דבר ודבר. ור' יוסף קארו זצ"ל, בבית יוסף, הביא שרבינו האי גאון כתב שעל כל דבר ודבר יש אמירה</w:t>
      </w:r>
      <w:r w:rsidRPr="00D521C7">
        <w:rPr>
          <w:rFonts w:ascii="Narkisim" w:hAnsi="Narkisim" w:cs="Narkisim"/>
        </w:rPr>
        <w:t>.</w:t>
      </w:r>
    </w:p>
    <w:p w14:paraId="1D9D285C" w14:textId="409D932E"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 xml:space="preserve">ר' יקותיאל יהודה </w:t>
      </w:r>
      <w:proofErr w:type="spellStart"/>
      <w:r w:rsidRPr="00D521C7">
        <w:rPr>
          <w:rFonts w:ascii="Narkisim" w:hAnsi="Narkisim" w:cs="Narkisim"/>
          <w:rtl/>
        </w:rPr>
        <w:t>הלברשטאם</w:t>
      </w:r>
      <w:proofErr w:type="spellEnd"/>
      <w:r w:rsidRPr="00D521C7">
        <w:rPr>
          <w:rFonts w:ascii="Narkisim" w:hAnsi="Narkisim" w:cs="Narkisim"/>
          <w:rtl/>
        </w:rPr>
        <w:t xml:space="preserve"> זצ"ל, האדמו"ר הקודם </w:t>
      </w:r>
      <w:proofErr w:type="spellStart"/>
      <w:r w:rsidRPr="00D521C7">
        <w:rPr>
          <w:rFonts w:ascii="Narkisim" w:hAnsi="Narkisim" w:cs="Narkisim"/>
          <w:rtl/>
        </w:rPr>
        <w:t>מצאנז</w:t>
      </w:r>
      <w:proofErr w:type="spellEnd"/>
      <w:r w:rsidR="00074FDD">
        <w:rPr>
          <w:rStyle w:val="af0"/>
          <w:rFonts w:ascii="Narkisim" w:hAnsi="Narkisim" w:cs="Narkisim"/>
          <w:rtl/>
        </w:rPr>
        <w:footnoteReference w:id="9"/>
      </w:r>
      <w:r w:rsidR="00074FDD">
        <w:rPr>
          <w:rFonts w:ascii="Narkisim" w:hAnsi="Narkisim" w:cs="Narkisim" w:hint="cs"/>
          <w:rtl/>
        </w:rPr>
        <w:t>, כתב</w:t>
      </w:r>
      <w:r w:rsidRPr="00D521C7">
        <w:rPr>
          <w:rFonts w:ascii="Narkisim" w:hAnsi="Narkisim" w:cs="Narkisim"/>
          <w:rtl/>
        </w:rPr>
        <w:t xml:space="preserve"> שאמירת ה"יהי רצון" תלויה בשתי הגרסאות. לפי הגרסה שאוכלים את הפירות והירקות, צריך לומר את ה"יהי רצון", כיוון שבלי האמירה אין היכר שהפירות והירקות באו לשם סימן. אולם לפי הגרסה שמביאים את הירקות והפירות ורק מביטים בהם, יש בכך היכר שהם הובאו לסימן, ואין צורך באמירת ה"יהי רצון</w:t>
      </w:r>
      <w:r w:rsidR="00074FDD">
        <w:rPr>
          <w:rFonts w:ascii="Narkisim" w:hAnsi="Narkisim" w:cs="Narkisim" w:hint="cs"/>
          <w:rtl/>
        </w:rPr>
        <w:t xml:space="preserve">". </w:t>
      </w:r>
    </w:p>
    <w:p w14:paraId="31221CF3"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נראה לי שבין כך ובין כך צריך את האמירה, כיוון שכפי שביארתי, אין משמעות בעצם הבאת הפירות והירקות. הם אינם משפיעים ואינם פועלים. ההשפעה באה באמצעות ההתעוררות והתפילה לקב"ה</w:t>
      </w:r>
      <w:r w:rsidRPr="00D521C7">
        <w:rPr>
          <w:rFonts w:ascii="Narkisim" w:hAnsi="Narkisim" w:cs="Narkisim"/>
        </w:rPr>
        <w:t>.</w:t>
      </w:r>
    </w:p>
    <w:p w14:paraId="04BD73B8" w14:textId="120B5725"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lastRenderedPageBreak/>
        <w:t xml:space="preserve">הרב משה </w:t>
      </w:r>
      <w:proofErr w:type="spellStart"/>
      <w:r w:rsidRPr="00D521C7">
        <w:rPr>
          <w:rFonts w:ascii="Narkisim" w:hAnsi="Narkisim" w:cs="Narkisim"/>
          <w:rtl/>
        </w:rPr>
        <w:t>שטרנבוך</w:t>
      </w:r>
      <w:proofErr w:type="spellEnd"/>
      <w:r w:rsidRPr="00D521C7">
        <w:rPr>
          <w:rFonts w:ascii="Narkisim" w:hAnsi="Narkisim" w:cs="Narkisim"/>
          <w:rtl/>
        </w:rPr>
        <w:t xml:space="preserve"> </w:t>
      </w:r>
      <w:proofErr w:type="spellStart"/>
      <w:r w:rsidRPr="00D521C7">
        <w:rPr>
          <w:rFonts w:ascii="Narkisim" w:hAnsi="Narkisim" w:cs="Narkisim"/>
          <w:rtl/>
        </w:rPr>
        <w:t>שליט"א</w:t>
      </w:r>
      <w:proofErr w:type="spellEnd"/>
      <w:r w:rsidR="00074FDD">
        <w:rPr>
          <w:rStyle w:val="af0"/>
          <w:rFonts w:ascii="Narkisim" w:hAnsi="Narkisim" w:cs="Narkisim"/>
          <w:rtl/>
        </w:rPr>
        <w:footnoteReference w:id="10"/>
      </w:r>
      <w:r w:rsidR="00074FDD">
        <w:rPr>
          <w:rFonts w:ascii="Narkisim" w:hAnsi="Narkisim" w:cs="Narkisim" w:hint="cs"/>
          <w:rtl/>
        </w:rPr>
        <w:t xml:space="preserve"> </w:t>
      </w:r>
      <w:r w:rsidRPr="00D521C7">
        <w:rPr>
          <w:rFonts w:ascii="Narkisim" w:hAnsi="Narkisim" w:cs="Narkisim"/>
          <w:rtl/>
        </w:rPr>
        <w:t>סבר שמשום המחלוקת בין הראשונים אם צריך לראות או לאכול, יש לנהוג בשני המנהגים. כלומר, מיד לאחר שחוזר מבית הכנסת תהיה קערה עם כל הירקות והפירות. בתחילה ייטול כל אחד ואחד מן הסימנים, יתבונן בו ויאמר את ה"יהי רצון", אך לא יאכל אותו. לאחר הקידוש והמוציא יאכל את הסימנים ושוב יאמר את ה"יהי רצון". בפעם הראשונה יאמר את ה"יהי רצון" בלי הזכרת השם, ובפעם השנייה יאמר את ה"יהי רצון" עם הזכרת השם</w:t>
      </w:r>
      <w:r w:rsidRPr="00D521C7">
        <w:rPr>
          <w:rFonts w:ascii="Narkisim" w:hAnsi="Narkisim" w:cs="Narkisim"/>
        </w:rPr>
        <w:t>.</w:t>
      </w:r>
    </w:p>
    <w:p w14:paraId="730CFA5C" w14:textId="46D91398"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נראה לי שלהלכה למעשה אין צורך להחמיר בדבר. אפשר להביא את הסימנים ולאוכלם. במקרה שאינו יכול, או שאינו רוצה לאכול את הסימנים, לפחות יביא את הסימנים כדי להתבונן בהם ולומר את ה"יהי רצון</w:t>
      </w:r>
      <w:r w:rsidRPr="00D521C7">
        <w:rPr>
          <w:rFonts w:ascii="Narkisim" w:hAnsi="Narkisim" w:cs="Narkisim"/>
        </w:rPr>
        <w:t>"</w:t>
      </w:r>
      <w:r w:rsidR="00074FDD">
        <w:rPr>
          <w:rStyle w:val="af0"/>
          <w:rFonts w:ascii="Narkisim" w:hAnsi="Narkisim" w:cs="Narkisim"/>
          <w:rtl/>
        </w:rPr>
        <w:footnoteReference w:id="11"/>
      </w:r>
      <w:r w:rsidR="00074FDD">
        <w:rPr>
          <w:rFonts w:ascii="Narkisim" w:hAnsi="Narkisim" w:cs="Narkisim" w:hint="cs"/>
          <w:rtl/>
        </w:rPr>
        <w:t>.</w:t>
      </w:r>
    </w:p>
    <w:p w14:paraId="5C80E5FE" w14:textId="2FC91E40"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 xml:space="preserve">יש מחלוקת בין הפוסקים אם יש להביא ולאכול את הסימנים גם בלילה השני של ראש </w:t>
      </w:r>
      <w:r w:rsidR="00074FDD">
        <w:rPr>
          <w:rFonts w:ascii="Narkisim" w:hAnsi="Narkisim" w:cs="Narkisim" w:hint="cs"/>
          <w:rtl/>
        </w:rPr>
        <w:t>השנה</w:t>
      </w:r>
      <w:r w:rsidR="00074FDD">
        <w:rPr>
          <w:rStyle w:val="af0"/>
          <w:rFonts w:ascii="Narkisim" w:hAnsi="Narkisim" w:cs="Narkisim"/>
          <w:rtl/>
        </w:rPr>
        <w:footnoteReference w:id="12"/>
      </w:r>
      <w:r w:rsidR="00074FDD">
        <w:rPr>
          <w:rFonts w:ascii="Narkisim" w:hAnsi="Narkisim" w:cs="Narkisim" w:hint="cs"/>
          <w:rtl/>
        </w:rPr>
        <w:t>. נראה</w:t>
      </w:r>
      <w:r w:rsidRPr="00D521C7">
        <w:rPr>
          <w:rFonts w:ascii="Narkisim" w:hAnsi="Narkisim" w:cs="Narkisim"/>
          <w:rtl/>
        </w:rPr>
        <w:t xml:space="preserve"> שלהלכה למעשה, לכתחילה יש להביא את הסימנים גם בלילה השני</w:t>
      </w:r>
      <w:r w:rsidRPr="00D521C7">
        <w:rPr>
          <w:rFonts w:ascii="Narkisim" w:hAnsi="Narkisim" w:cs="Narkisim"/>
        </w:rPr>
        <w:t>.</w:t>
      </w:r>
    </w:p>
    <w:p w14:paraId="32E9BE2E" w14:textId="5DBB6D01"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 xml:space="preserve">יש מחלוקת בין הפוסקים מתי יש לומר את ה"יהי רצון". מדברי </w:t>
      </w:r>
      <w:proofErr w:type="spellStart"/>
      <w:r w:rsidRPr="00D521C7">
        <w:rPr>
          <w:rFonts w:ascii="Narkisim" w:hAnsi="Narkisim" w:cs="Narkisim"/>
          <w:rtl/>
        </w:rPr>
        <w:t>הרמ"א</w:t>
      </w:r>
      <w:proofErr w:type="spellEnd"/>
      <w:r w:rsidR="00074FDD">
        <w:rPr>
          <w:rStyle w:val="af0"/>
          <w:rFonts w:ascii="Narkisim" w:hAnsi="Narkisim" w:cs="Narkisim"/>
          <w:rtl/>
        </w:rPr>
        <w:footnoteReference w:id="13"/>
      </w:r>
      <w:r w:rsidR="00074FDD">
        <w:rPr>
          <w:rFonts w:ascii="Narkisim" w:hAnsi="Narkisim" w:cs="Narkisim" w:hint="cs"/>
          <w:rtl/>
        </w:rPr>
        <w:t xml:space="preserve"> </w:t>
      </w:r>
      <w:r w:rsidRPr="00D521C7">
        <w:rPr>
          <w:rFonts w:ascii="Narkisim" w:hAnsi="Narkisim" w:cs="Narkisim"/>
          <w:rtl/>
        </w:rPr>
        <w:t>נראה שיש לומר את ה"יהי רצון" לאחר אכילת הפרי. אולם, זה דווקא במקרה שמברך על הפרי. אם אינו מברך על הפרי, יש לומר את ה"יהי רצון" קודם אכילת הפרי</w:t>
      </w:r>
      <w:r w:rsidRPr="00D521C7">
        <w:rPr>
          <w:rFonts w:ascii="Narkisim" w:hAnsi="Narkisim" w:cs="Narkisim"/>
        </w:rPr>
        <w:t>.</w:t>
      </w:r>
      <w:r w:rsidR="00074FDD">
        <w:rPr>
          <w:rStyle w:val="af0"/>
          <w:rFonts w:ascii="Narkisim" w:hAnsi="Narkisim" w:cs="Narkisim"/>
        </w:rPr>
        <w:footnoteReference w:id="14"/>
      </w:r>
    </w:p>
    <w:p w14:paraId="4C31B2CB" w14:textId="72564F20"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אבל יש מהפוסקים</w:t>
      </w:r>
      <w:r w:rsidR="00074FDD">
        <w:rPr>
          <w:rStyle w:val="af0"/>
          <w:rFonts w:ascii="Narkisim" w:hAnsi="Narkisim" w:cs="Narkisim"/>
          <w:rtl/>
        </w:rPr>
        <w:footnoteReference w:id="15"/>
      </w:r>
      <w:r w:rsidR="00074FDD">
        <w:rPr>
          <w:rFonts w:ascii="Narkisim" w:hAnsi="Narkisim" w:cs="Narkisim" w:hint="cs"/>
          <w:rtl/>
        </w:rPr>
        <w:t xml:space="preserve"> </w:t>
      </w:r>
      <w:r w:rsidRPr="00D521C7">
        <w:rPr>
          <w:rFonts w:ascii="Narkisim" w:hAnsi="Narkisim" w:cs="Narkisim"/>
          <w:rtl/>
        </w:rPr>
        <w:t>שנקטו שגם כאשר מברכים על הפרי, יש לומר את ה"יהי רצון" לאחר אמירת הברכה וקודם אכילת הפרי. לדעתם, אין כאן הפסק, כיוון שהאמירה היא צורך הברכה. מכל מקום, אין לומר את ה"יהי רצון" קודם אמירת הברכה</w:t>
      </w:r>
      <w:r w:rsidR="00C759DD">
        <w:rPr>
          <w:rStyle w:val="af0"/>
          <w:rFonts w:ascii="Narkisim" w:hAnsi="Narkisim" w:cs="Narkisim"/>
          <w:rtl/>
        </w:rPr>
        <w:footnoteReference w:id="16"/>
      </w:r>
      <w:r w:rsidR="00C759DD">
        <w:rPr>
          <w:rFonts w:ascii="Narkisim" w:hAnsi="Narkisim" w:cs="Narkisim" w:hint="cs"/>
          <w:rtl/>
        </w:rPr>
        <w:t>.</w:t>
      </w:r>
    </w:p>
    <w:p w14:paraId="29A4E58C" w14:textId="5264C99E"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להלכה למעשה, יש לומר את ה"יהי רצון" לאחר אכילת הפרי</w:t>
      </w:r>
      <w:r w:rsidR="00C759DD">
        <w:rPr>
          <w:rStyle w:val="af0"/>
          <w:rFonts w:ascii="Narkisim" w:hAnsi="Narkisim" w:cs="Narkisim"/>
          <w:rtl/>
        </w:rPr>
        <w:footnoteReference w:id="17"/>
      </w:r>
      <w:r w:rsidR="00C759DD">
        <w:rPr>
          <w:rFonts w:ascii="Narkisim" w:hAnsi="Narkisim" w:cs="Narkisim" w:hint="cs"/>
          <w:rtl/>
        </w:rPr>
        <w:t>.</w:t>
      </w:r>
    </w:p>
    <w:p w14:paraId="4344FA4C" w14:textId="0A26061C" w:rsidR="00D521C7" w:rsidRPr="00D521C7" w:rsidRDefault="00D521C7" w:rsidP="00D521C7">
      <w:pPr>
        <w:spacing w:before="120" w:after="120" w:line="360" w:lineRule="auto"/>
        <w:jc w:val="both"/>
        <w:rPr>
          <w:rFonts w:ascii="Narkisim" w:hAnsi="Narkisim" w:cs="Narkisim" w:hint="cs"/>
          <w:rtl/>
        </w:rPr>
      </w:pPr>
      <w:r w:rsidRPr="00D521C7">
        <w:rPr>
          <w:rFonts w:ascii="Narkisim" w:hAnsi="Narkisim" w:cs="Narkisim"/>
          <w:rtl/>
        </w:rPr>
        <w:t xml:space="preserve">יש מחלוקת בין הפוסקים אם אומרים את ה"יהי רצון" עם הזכרת שם שמים: "יהי רצון מלפניך ה' אלוקינו ואלוקי אבותינו </w:t>
      </w:r>
      <w:proofErr w:type="spellStart"/>
      <w:r w:rsidRPr="00D521C7">
        <w:rPr>
          <w:rFonts w:ascii="Narkisim" w:hAnsi="Narkisim" w:cs="Narkisim"/>
          <w:rtl/>
        </w:rPr>
        <w:t>וכו</w:t>
      </w:r>
      <w:proofErr w:type="spellEnd"/>
      <w:r w:rsidRPr="00D521C7">
        <w:rPr>
          <w:rFonts w:ascii="Narkisim" w:hAnsi="Narkisim" w:cs="Narkisim"/>
        </w:rPr>
        <w:t>'</w:t>
      </w:r>
      <w:r w:rsidR="00C759DD">
        <w:rPr>
          <w:rFonts w:ascii="Narkisim" w:hAnsi="Narkisim" w:cs="Narkisim" w:hint="cs"/>
          <w:rtl/>
        </w:rPr>
        <w:t xml:space="preserve"> "</w:t>
      </w:r>
      <w:r w:rsidR="00C759DD">
        <w:rPr>
          <w:rStyle w:val="af0"/>
          <w:rFonts w:ascii="Narkisim" w:hAnsi="Narkisim" w:cs="Narkisim"/>
          <w:rtl/>
        </w:rPr>
        <w:footnoteReference w:id="18"/>
      </w:r>
      <w:r w:rsidR="00C759DD">
        <w:rPr>
          <w:rFonts w:ascii="Narkisim" w:hAnsi="Narkisim" w:cs="Narkisim" w:hint="cs"/>
          <w:rtl/>
        </w:rPr>
        <w:t xml:space="preserve">. </w:t>
      </w:r>
    </w:p>
    <w:p w14:paraId="48431E5C" w14:textId="2FB23433"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 xml:space="preserve">יש שאומרים שאין לומר את ה"יהי רצון" עם שם </w:t>
      </w:r>
      <w:r w:rsidR="00C759DD">
        <w:rPr>
          <w:rFonts w:ascii="Narkisim" w:hAnsi="Narkisim" w:cs="Narkisim" w:hint="cs"/>
          <w:rtl/>
        </w:rPr>
        <w:t>שמים</w:t>
      </w:r>
      <w:r w:rsidR="00C759DD">
        <w:rPr>
          <w:rStyle w:val="af0"/>
          <w:rFonts w:ascii="Narkisim" w:hAnsi="Narkisim" w:cs="Narkisim"/>
          <w:rtl/>
        </w:rPr>
        <w:footnoteReference w:id="19"/>
      </w:r>
      <w:r w:rsidR="00C759DD">
        <w:rPr>
          <w:rFonts w:ascii="Narkisim" w:hAnsi="Narkisim" w:cs="Narkisim" w:hint="cs"/>
          <w:rtl/>
        </w:rPr>
        <w:t xml:space="preserve">. </w:t>
      </w:r>
      <w:r w:rsidRPr="00D521C7">
        <w:rPr>
          <w:rFonts w:ascii="Narkisim" w:hAnsi="Narkisim" w:cs="Narkisim"/>
          <w:rtl/>
        </w:rPr>
        <w:t>לכן יש שנוהגים לומר: "יהי רצון מלפניך וכו</w:t>
      </w:r>
      <w:r w:rsidR="00C759DD">
        <w:rPr>
          <w:rFonts w:ascii="Narkisim" w:hAnsi="Narkisim" w:cs="Narkisim" w:hint="cs"/>
          <w:rtl/>
        </w:rPr>
        <w:t>' "</w:t>
      </w:r>
      <w:r w:rsidR="00C759DD">
        <w:rPr>
          <w:rStyle w:val="af0"/>
          <w:rFonts w:ascii="Narkisim" w:hAnsi="Narkisim" w:cs="Narkisim"/>
          <w:rtl/>
        </w:rPr>
        <w:footnoteReference w:id="20"/>
      </w:r>
      <w:r w:rsidR="00C759DD">
        <w:rPr>
          <w:rFonts w:ascii="Narkisim" w:hAnsi="Narkisim" w:cs="Narkisim" w:hint="cs"/>
          <w:rtl/>
        </w:rPr>
        <w:t>,</w:t>
      </w:r>
      <w:r w:rsidRPr="00D521C7">
        <w:rPr>
          <w:rFonts w:ascii="Narkisim" w:hAnsi="Narkisim" w:cs="Narkisim"/>
          <w:rtl/>
        </w:rPr>
        <w:t xml:space="preserve"> </w:t>
      </w:r>
      <w:r w:rsidR="00C759DD">
        <w:rPr>
          <w:rFonts w:ascii="Narkisim" w:hAnsi="Narkisim" w:cs="Narkisim" w:hint="cs"/>
          <w:rtl/>
        </w:rPr>
        <w:t xml:space="preserve">ויש </w:t>
      </w:r>
      <w:r w:rsidRPr="00D521C7">
        <w:rPr>
          <w:rFonts w:ascii="Narkisim" w:hAnsi="Narkisim" w:cs="Narkisim"/>
          <w:rtl/>
        </w:rPr>
        <w:t>שנוהגים לומר: "יהי רצון מלפני אבינו שבשמים ו</w:t>
      </w:r>
      <w:r w:rsidR="00C759DD">
        <w:rPr>
          <w:rFonts w:ascii="Narkisim" w:hAnsi="Narkisim" w:cs="Narkisim" w:hint="cs"/>
          <w:rtl/>
        </w:rPr>
        <w:t>כו' "</w:t>
      </w:r>
      <w:r w:rsidR="00C759DD">
        <w:rPr>
          <w:rStyle w:val="af0"/>
          <w:rFonts w:ascii="Narkisim" w:hAnsi="Narkisim" w:cs="Narkisim"/>
          <w:rtl/>
        </w:rPr>
        <w:footnoteReference w:id="21"/>
      </w:r>
      <w:r w:rsidR="00C759DD">
        <w:rPr>
          <w:rFonts w:ascii="Narkisim" w:hAnsi="Narkisim" w:cs="Narkisim" w:hint="cs"/>
          <w:rtl/>
        </w:rPr>
        <w:t>.</w:t>
      </w:r>
      <w:r w:rsidRPr="00D521C7">
        <w:rPr>
          <w:rFonts w:ascii="Narkisim" w:hAnsi="Narkisim" w:cs="Narkisim"/>
        </w:rPr>
        <w:t xml:space="preserve"> </w:t>
      </w:r>
      <w:r w:rsidRPr="00D521C7">
        <w:rPr>
          <w:rFonts w:ascii="Narkisim" w:hAnsi="Narkisim" w:cs="Narkisim"/>
          <w:rtl/>
        </w:rPr>
        <w:t>יש מקום לכל המנהגים</w:t>
      </w:r>
      <w:r w:rsidRPr="00D521C7">
        <w:rPr>
          <w:rFonts w:ascii="Narkisim" w:hAnsi="Narkisim" w:cs="Narkisim"/>
        </w:rPr>
        <w:t>.</w:t>
      </w:r>
    </w:p>
    <w:p w14:paraId="136CE569" w14:textId="0521320E"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יש מחלוקת בין הפוסקים בנוגע לסדר הברכות בענייני הסימנים. יש שסברו שיש להקדים את המין משבעת המינים, כלומר את התמר והרימון</w:t>
      </w:r>
      <w:r w:rsidR="00096519">
        <w:rPr>
          <w:rStyle w:val="af0"/>
          <w:rFonts w:ascii="Narkisim" w:hAnsi="Narkisim" w:cs="Narkisim"/>
          <w:rtl/>
        </w:rPr>
        <w:footnoteReference w:id="22"/>
      </w:r>
      <w:r w:rsidR="00096519">
        <w:rPr>
          <w:rFonts w:ascii="Narkisim" w:hAnsi="Narkisim" w:cs="Narkisim" w:hint="cs"/>
          <w:rtl/>
        </w:rPr>
        <w:t>.</w:t>
      </w:r>
      <w:r w:rsidR="00096519">
        <w:rPr>
          <w:rFonts w:ascii="Narkisim" w:hAnsi="Narkisim" w:cs="Narkisim" w:hint="cs"/>
          <w:rtl/>
        </w:rPr>
        <w:t xml:space="preserve"> </w:t>
      </w:r>
      <w:r w:rsidRPr="00D521C7">
        <w:rPr>
          <w:rFonts w:ascii="Narkisim" w:hAnsi="Narkisim" w:cs="Narkisim"/>
          <w:rtl/>
        </w:rPr>
        <w:t>אם מביאים גם תמר וגם רימון, יש להקדים את התמר לרימון</w:t>
      </w:r>
      <w:r w:rsidRPr="00D521C7">
        <w:rPr>
          <w:rFonts w:ascii="Narkisim" w:hAnsi="Narkisim" w:cs="Narkisim"/>
        </w:rPr>
        <w:t>.</w:t>
      </w:r>
    </w:p>
    <w:p w14:paraId="53A9B932" w14:textId="0E2A74F3"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lastRenderedPageBreak/>
        <w:t>אולם יש שסברו</w:t>
      </w:r>
      <w:r w:rsidR="00096519">
        <w:rPr>
          <w:rStyle w:val="af0"/>
          <w:rFonts w:ascii="Narkisim" w:hAnsi="Narkisim" w:cs="Narkisim"/>
          <w:rtl/>
        </w:rPr>
        <w:footnoteReference w:id="23"/>
      </w:r>
      <w:r w:rsidR="00096519">
        <w:rPr>
          <w:rFonts w:ascii="Narkisim" w:hAnsi="Narkisim" w:cs="Narkisim" w:hint="cs"/>
          <w:rtl/>
        </w:rPr>
        <w:t xml:space="preserve"> </w:t>
      </w:r>
      <w:r w:rsidRPr="00D521C7">
        <w:rPr>
          <w:rFonts w:ascii="Narkisim" w:hAnsi="Narkisim" w:cs="Narkisim"/>
          <w:rtl/>
        </w:rPr>
        <w:t>שיש להקדים דווקא את התפוח בדבש, וזאת משום שיש רמזים וטעמים מיוחדים לאכילת התפוח בדבש, ומשום כך הוא בגדר "חביב" לעומת שבעת המינים</w:t>
      </w:r>
      <w:r w:rsidRPr="00D521C7">
        <w:rPr>
          <w:rFonts w:ascii="Narkisim" w:hAnsi="Narkisim" w:cs="Narkisim"/>
        </w:rPr>
        <w:t>.</w:t>
      </w:r>
    </w:p>
    <w:p w14:paraId="31329B04"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יש מחלוקת בין הפוסקים אם חביב קודם לשבעת המינים, וכאן סומכים על הדעה הסוברת שמקדימים את החביב לשבעת המינים</w:t>
      </w:r>
      <w:r w:rsidRPr="00D521C7">
        <w:rPr>
          <w:rFonts w:ascii="Narkisim" w:hAnsi="Narkisim" w:cs="Narkisim"/>
        </w:rPr>
        <w:t>.</w:t>
      </w:r>
    </w:p>
    <w:p w14:paraId="7D71B8D9"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יש שסברו שכדי לצאת ידי כל השיטות, עדיף להביא את התפוח בדבש לשולחן, אך לא להביא את התמר והרימון. בכך יוכל לברך על התפוח בדבש בלי פקפוק</w:t>
      </w:r>
      <w:r w:rsidRPr="00D521C7">
        <w:rPr>
          <w:rFonts w:ascii="Narkisim" w:hAnsi="Narkisim" w:cs="Narkisim"/>
        </w:rPr>
        <w:t>.</w:t>
      </w:r>
    </w:p>
    <w:p w14:paraId="76E45A89" w14:textId="1B2BB73A" w:rsidR="00D521C7" w:rsidRPr="00D521C7" w:rsidRDefault="00D521C7" w:rsidP="00D521C7">
      <w:pPr>
        <w:spacing w:before="120" w:after="120" w:line="360" w:lineRule="auto"/>
        <w:jc w:val="both"/>
        <w:rPr>
          <w:rFonts w:ascii="Narkisim" w:hAnsi="Narkisim" w:cs="Narkisim" w:hint="cs"/>
          <w:rtl/>
        </w:rPr>
      </w:pPr>
      <w:r w:rsidRPr="00D521C7">
        <w:rPr>
          <w:rFonts w:ascii="Narkisim" w:hAnsi="Narkisim" w:cs="Narkisim"/>
          <w:rtl/>
        </w:rPr>
        <w:t>בנוגע לברכות על הירקות ופירות האדמה שאוכלים כסימנים, יש מחלוקת בין הפוסקים אם הם נחשבים כבאים מחמת הסעודה, ולכן אין לברך עליהם</w:t>
      </w:r>
      <w:r w:rsidR="00096519">
        <w:rPr>
          <w:rStyle w:val="af0"/>
          <w:rFonts w:ascii="Narkisim" w:hAnsi="Narkisim" w:cs="Narkisim"/>
          <w:rtl/>
        </w:rPr>
        <w:footnoteReference w:id="24"/>
      </w:r>
      <w:r w:rsidRPr="00D521C7">
        <w:rPr>
          <w:rFonts w:ascii="Narkisim" w:hAnsi="Narkisim" w:cs="Narkisim"/>
        </w:rPr>
        <w:t>,</w:t>
      </w:r>
      <w:r w:rsidR="00096519">
        <w:rPr>
          <w:rFonts w:ascii="Narkisim" w:hAnsi="Narkisim" w:cs="Narkisim" w:hint="cs"/>
          <w:rtl/>
        </w:rPr>
        <w:t xml:space="preserve"> </w:t>
      </w:r>
      <w:r w:rsidRPr="00D521C7">
        <w:rPr>
          <w:rFonts w:ascii="Narkisim" w:hAnsi="Narkisim" w:cs="Narkisim"/>
          <w:rtl/>
        </w:rPr>
        <w:t>או שנחשבים שאינם באים מחמת הסעודה ויש לברך עליהם</w:t>
      </w:r>
      <w:r w:rsidR="00096519">
        <w:rPr>
          <w:rStyle w:val="af0"/>
          <w:rFonts w:ascii="Narkisim" w:hAnsi="Narkisim" w:cs="Narkisim"/>
          <w:rtl/>
        </w:rPr>
        <w:footnoteReference w:id="25"/>
      </w:r>
      <w:r w:rsidR="00096519">
        <w:rPr>
          <w:rFonts w:ascii="Narkisim" w:hAnsi="Narkisim" w:cs="Narkisim" w:hint="cs"/>
          <w:rtl/>
        </w:rPr>
        <w:t>.</w:t>
      </w:r>
    </w:p>
    <w:p w14:paraId="31722585" w14:textId="77777777" w:rsidR="00D521C7" w:rsidRPr="00D521C7" w:rsidRDefault="00D521C7" w:rsidP="00D521C7">
      <w:pPr>
        <w:spacing w:before="120" w:after="120" w:line="360" w:lineRule="auto"/>
        <w:jc w:val="both"/>
        <w:rPr>
          <w:rFonts w:ascii="Narkisim" w:hAnsi="Narkisim" w:cs="Narkisim"/>
        </w:rPr>
      </w:pPr>
      <w:r w:rsidRPr="00D521C7">
        <w:rPr>
          <w:rFonts w:ascii="Narkisim" w:hAnsi="Narkisim" w:cs="Narkisim"/>
          <w:rtl/>
        </w:rPr>
        <w:t>כדי לצאת ידי שתי השיטות, עדיף להביא דבר שעליו בוודאי מברכים, כגון אננס, בננה וכיוצא בזה, ולברך עליו. בכך יפטור את שאר הירקות ופירות האדמה</w:t>
      </w:r>
      <w:r w:rsidRPr="00D521C7">
        <w:rPr>
          <w:rFonts w:ascii="Narkisim" w:hAnsi="Narkisim" w:cs="Narkisim"/>
        </w:rPr>
        <w:t>.</w:t>
      </w:r>
    </w:p>
    <w:p w14:paraId="665B3853" w14:textId="77777777" w:rsidR="00805598" w:rsidRPr="00FF2278" w:rsidRDefault="00805598" w:rsidP="005C1D95">
      <w:pPr>
        <w:spacing w:before="120" w:after="120" w:line="360" w:lineRule="auto"/>
        <w:jc w:val="both"/>
        <w:rPr>
          <w:rFonts w:ascii="Narkisim" w:hAnsi="Narkisim" w:cs="Narkisim"/>
        </w:rPr>
      </w:pPr>
    </w:p>
    <w:p w14:paraId="0BB98613" w14:textId="77777777" w:rsidR="005C1D95" w:rsidRPr="005C1D95" w:rsidRDefault="005C1D95" w:rsidP="005C1D95">
      <w:pPr>
        <w:spacing w:before="120" w:after="120" w:line="360" w:lineRule="auto"/>
        <w:jc w:val="both"/>
        <w:rPr>
          <w:rFonts w:ascii="Narkisim" w:hAnsi="Narkisim" w:cs="Narkisim"/>
        </w:rPr>
      </w:pPr>
    </w:p>
    <w:p w14:paraId="754408AC" w14:textId="77777777" w:rsidR="005C1D95" w:rsidRPr="005C1D95" w:rsidRDefault="005C1D95" w:rsidP="005C1D95">
      <w:pPr>
        <w:spacing w:before="120" w:after="120" w:line="360" w:lineRule="auto"/>
        <w:rPr>
          <w:rFonts w:ascii="Narkisim" w:hAnsi="Narkisim" w:cs="Narkisim"/>
          <w:rtl/>
        </w:rPr>
      </w:pPr>
    </w:p>
    <w:p w14:paraId="09204B3A" w14:textId="77777777" w:rsidR="00A37325" w:rsidRDefault="00A37325"/>
    <w:sectPr w:rsidR="00A37325" w:rsidSect="00096519">
      <w:headerReference w:type="even" r:id="rId7"/>
      <w:headerReference w:type="default" r:id="rId8"/>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43C6" w14:textId="77777777" w:rsidR="00640A10" w:rsidRDefault="00640A10" w:rsidP="00D521C7">
      <w:pPr>
        <w:spacing w:after="0" w:line="240" w:lineRule="auto"/>
      </w:pPr>
      <w:r>
        <w:separator/>
      </w:r>
    </w:p>
  </w:endnote>
  <w:endnote w:type="continuationSeparator" w:id="0">
    <w:p w14:paraId="3993A59D" w14:textId="77777777" w:rsidR="00640A10" w:rsidRDefault="00640A10" w:rsidP="00D5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Guttman Vilna">
    <w:panose1 w:val="02010401010101010101"/>
    <w:charset w:val="B1"/>
    <w:family w:val="auto"/>
    <w:pitch w:val="variable"/>
    <w:sig w:usb0="00000801" w:usb1="4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99DE" w14:textId="77777777" w:rsidR="00640A10" w:rsidRDefault="00640A10" w:rsidP="00D521C7">
      <w:pPr>
        <w:spacing w:after="0" w:line="240" w:lineRule="auto"/>
      </w:pPr>
      <w:r>
        <w:separator/>
      </w:r>
    </w:p>
  </w:footnote>
  <w:footnote w:type="continuationSeparator" w:id="0">
    <w:p w14:paraId="011C1383" w14:textId="77777777" w:rsidR="00640A10" w:rsidRDefault="00640A10" w:rsidP="00D521C7">
      <w:pPr>
        <w:spacing w:after="0" w:line="240" w:lineRule="auto"/>
      </w:pPr>
      <w:r>
        <w:continuationSeparator/>
      </w:r>
    </w:p>
  </w:footnote>
  <w:footnote w:id="1">
    <w:p w14:paraId="35BF31DF" w14:textId="62146BD2" w:rsidR="00D521C7" w:rsidRPr="00096519" w:rsidRDefault="00D521C7" w:rsidP="00D521C7">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מסכת כריתות ה, ע"ב–ו, ע"א; מסכת הוריות </w:t>
      </w:r>
      <w:proofErr w:type="spellStart"/>
      <w:r w:rsidRPr="00096519">
        <w:rPr>
          <w:rFonts w:ascii="FrankRuehl" w:hAnsi="FrankRuehl" w:cs="FrankRuehl"/>
          <w:rtl/>
        </w:rPr>
        <w:t>יב</w:t>
      </w:r>
      <w:proofErr w:type="spellEnd"/>
      <w:r w:rsidRPr="00096519">
        <w:rPr>
          <w:rFonts w:ascii="FrankRuehl" w:hAnsi="FrankRuehl" w:cs="FrankRuehl"/>
          <w:rtl/>
        </w:rPr>
        <w:t>, ע"א</w:t>
      </w:r>
      <w:r w:rsidRPr="00096519">
        <w:rPr>
          <w:rFonts w:ascii="FrankRuehl" w:hAnsi="FrankRuehl" w:cs="FrankRuehl"/>
        </w:rPr>
        <w:t>.</w:t>
      </w:r>
    </w:p>
  </w:footnote>
  <w:footnote w:id="2">
    <w:p w14:paraId="71DD7C1C" w14:textId="018BE643" w:rsidR="00D521C7" w:rsidRPr="00096519" w:rsidRDefault="00D521C7" w:rsidP="00D521C7">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מסכת כריתות ו, ע"א</w:t>
      </w:r>
      <w:r w:rsidRPr="00096519">
        <w:rPr>
          <w:rFonts w:ascii="FrankRuehl" w:hAnsi="FrankRuehl" w:cs="FrankRuehl"/>
        </w:rPr>
        <w:t>.</w:t>
      </w:r>
    </w:p>
  </w:footnote>
  <w:footnote w:id="3">
    <w:p w14:paraId="73CBB615" w14:textId="3A9EF1F5" w:rsidR="00D521C7" w:rsidRPr="00096519" w:rsidRDefault="00D521C7" w:rsidP="00D521C7">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מסכת הוריות </w:t>
      </w:r>
      <w:proofErr w:type="spellStart"/>
      <w:r w:rsidRPr="00096519">
        <w:rPr>
          <w:rFonts w:ascii="FrankRuehl" w:hAnsi="FrankRuehl" w:cs="FrankRuehl"/>
          <w:rtl/>
        </w:rPr>
        <w:t>יב</w:t>
      </w:r>
      <w:proofErr w:type="spellEnd"/>
      <w:r w:rsidRPr="00096519">
        <w:rPr>
          <w:rFonts w:ascii="FrankRuehl" w:hAnsi="FrankRuehl" w:cs="FrankRuehl"/>
          <w:rtl/>
        </w:rPr>
        <w:t>, ע"א</w:t>
      </w:r>
      <w:r w:rsidRPr="00096519">
        <w:rPr>
          <w:rFonts w:ascii="FrankRuehl" w:hAnsi="FrankRuehl" w:cs="FrankRuehl"/>
        </w:rPr>
        <w:t>.</w:t>
      </w:r>
    </w:p>
  </w:footnote>
  <w:footnote w:id="4">
    <w:p w14:paraId="23949CD1" w14:textId="77777777" w:rsidR="00D521C7" w:rsidRPr="00096519" w:rsidRDefault="00D521C7" w:rsidP="00D521C7">
      <w:pPr>
        <w:pStyle w:val="ae"/>
        <w:jc w:val="both"/>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בספר "מנהג </w:t>
      </w:r>
      <w:proofErr w:type="spellStart"/>
      <w:r w:rsidRPr="00096519">
        <w:rPr>
          <w:rFonts w:ascii="FrankRuehl" w:hAnsi="FrankRuehl" w:cs="FrankRuehl"/>
          <w:rtl/>
        </w:rPr>
        <w:t>מרשלייאה</w:t>
      </w:r>
      <w:proofErr w:type="spellEnd"/>
      <w:r w:rsidRPr="00096519">
        <w:rPr>
          <w:rFonts w:ascii="FrankRuehl" w:hAnsi="FrankRuehl" w:cs="FrankRuehl"/>
          <w:rtl/>
        </w:rPr>
        <w:t xml:space="preserve">", הלכות ראש השנה, כפרה. המחבר הוא הרב משה </w:t>
      </w:r>
      <w:proofErr w:type="spellStart"/>
      <w:r w:rsidRPr="00096519">
        <w:rPr>
          <w:rFonts w:ascii="FrankRuehl" w:hAnsi="FrankRuehl" w:cs="FrankRuehl"/>
          <w:rtl/>
        </w:rPr>
        <w:t>ב"ר</w:t>
      </w:r>
      <w:proofErr w:type="spellEnd"/>
      <w:r w:rsidRPr="00096519">
        <w:rPr>
          <w:rFonts w:ascii="FrankRuehl" w:hAnsi="FrankRuehl" w:cs="FrankRuehl"/>
          <w:rtl/>
        </w:rPr>
        <w:t xml:space="preserve"> שמואל, אחיינו של בעל "העיטור". הוא חילק בין מנהג הסימנים ובין מנהג הכפרות. הוא יצא נגד מנהג הכפרות, וחשב שיש בזה דמיון לכישוף, או כמקריב קרבן מחוץ לבית המקדש. אבל לעניין הסימנים הוא סבר שאין שום בעיה במנהג</w:t>
      </w:r>
      <w:r w:rsidRPr="00096519">
        <w:rPr>
          <w:rFonts w:ascii="FrankRuehl" w:hAnsi="FrankRuehl" w:cs="FrankRuehl"/>
        </w:rPr>
        <w:t>.</w:t>
      </w:r>
    </w:p>
    <w:p w14:paraId="1750BA2C" w14:textId="77777777" w:rsidR="00D521C7" w:rsidRPr="00096519" w:rsidRDefault="00D521C7" w:rsidP="00D521C7">
      <w:pPr>
        <w:pStyle w:val="ae"/>
        <w:jc w:val="both"/>
        <w:rPr>
          <w:rFonts w:ascii="FrankRuehl" w:hAnsi="FrankRuehl" w:cs="FrankRuehl"/>
        </w:rPr>
      </w:pPr>
      <w:r w:rsidRPr="00096519">
        <w:rPr>
          <w:rFonts w:ascii="FrankRuehl" w:hAnsi="FrankRuehl" w:cs="FrankRuehl"/>
          <w:rtl/>
        </w:rPr>
        <w:t xml:space="preserve">המרדכי (מסכת יומא, רמז </w:t>
      </w:r>
      <w:proofErr w:type="spellStart"/>
      <w:r w:rsidRPr="00096519">
        <w:rPr>
          <w:rFonts w:ascii="FrankRuehl" w:hAnsi="FrankRuehl" w:cs="FrankRuehl"/>
          <w:rtl/>
        </w:rPr>
        <w:t>תשכג</w:t>
      </w:r>
      <w:proofErr w:type="spellEnd"/>
      <w:r w:rsidRPr="00096519">
        <w:rPr>
          <w:rFonts w:ascii="FrankRuehl" w:hAnsi="FrankRuehl" w:cs="FrankRuehl"/>
          <w:rtl/>
        </w:rPr>
        <w:t>) הביא תשובת הגאונים שכתבו שאין איסור ניחוש בהבאת הפירות, כיוון שהוא נסמך על המקראות. אבל אין כל כך הסבר בדבר</w:t>
      </w:r>
      <w:r w:rsidRPr="00096519">
        <w:rPr>
          <w:rFonts w:ascii="FrankRuehl" w:hAnsi="FrankRuehl" w:cs="FrankRuehl"/>
        </w:rPr>
        <w:t>.</w:t>
      </w:r>
    </w:p>
    <w:p w14:paraId="0F02ED59" w14:textId="77777777" w:rsidR="00D521C7" w:rsidRPr="00096519" w:rsidRDefault="00D521C7" w:rsidP="00D521C7">
      <w:pPr>
        <w:pStyle w:val="ae"/>
        <w:jc w:val="both"/>
        <w:rPr>
          <w:rFonts w:ascii="FrankRuehl" w:hAnsi="FrankRuehl" w:cs="FrankRuehl"/>
        </w:rPr>
      </w:pPr>
      <w:r w:rsidRPr="00096519">
        <w:rPr>
          <w:rFonts w:ascii="FrankRuehl" w:hAnsi="FrankRuehl" w:cs="FrankRuehl"/>
          <w:rtl/>
        </w:rPr>
        <w:t xml:space="preserve">המהר"ל מפראג (ספר "באר הגולה", באר השני, פרק ז) הסביר שאין בכך ניחוש, כמו </w:t>
      </w:r>
      <w:proofErr w:type="spellStart"/>
      <w:r w:rsidRPr="00096519">
        <w:rPr>
          <w:rFonts w:ascii="FrankRuehl" w:hAnsi="FrankRuehl" w:cs="FrankRuehl"/>
          <w:rtl/>
        </w:rPr>
        <w:t>שמצינו</w:t>
      </w:r>
      <w:proofErr w:type="spellEnd"/>
      <w:r w:rsidRPr="00096519">
        <w:rPr>
          <w:rFonts w:ascii="FrankRuehl" w:hAnsi="FrankRuehl" w:cs="FrankRuehl"/>
          <w:rtl/>
        </w:rPr>
        <w:t xml:space="preserve"> אצל הנביאים שעשו כל מיני מעשים בנבואתם. הדברים מתבארים על ידי דברי הרמב"ן, שעשיית מעשים אלו היא כדי להוציא את הגזירה לפועל. אך עדיין לא מובן מדוע צריך לעשות את הפעולות האלו כדי להוציא את הגזירה לפועל</w:t>
      </w:r>
      <w:r w:rsidRPr="00096519">
        <w:rPr>
          <w:rFonts w:ascii="FrankRuehl" w:hAnsi="FrankRuehl" w:cs="FrankRuehl"/>
        </w:rPr>
        <w:t>.</w:t>
      </w:r>
    </w:p>
    <w:p w14:paraId="7E582E1E" w14:textId="77777777" w:rsidR="00D521C7" w:rsidRPr="00096519" w:rsidRDefault="00D521C7" w:rsidP="00D521C7">
      <w:pPr>
        <w:pStyle w:val="ae"/>
        <w:jc w:val="both"/>
        <w:rPr>
          <w:rFonts w:ascii="FrankRuehl" w:hAnsi="FrankRuehl" w:cs="FrankRuehl"/>
        </w:rPr>
      </w:pPr>
      <w:r w:rsidRPr="00096519">
        <w:rPr>
          <w:rFonts w:ascii="FrankRuehl" w:hAnsi="FrankRuehl" w:cs="FrankRuehl"/>
          <w:rtl/>
        </w:rPr>
        <w:t xml:space="preserve">ר' שלמה </w:t>
      </w:r>
      <w:proofErr w:type="spellStart"/>
      <w:r w:rsidRPr="00096519">
        <w:rPr>
          <w:rFonts w:ascii="FrankRuehl" w:hAnsi="FrankRuehl" w:cs="FrankRuehl"/>
          <w:rtl/>
        </w:rPr>
        <w:t>קלוגר</w:t>
      </w:r>
      <w:proofErr w:type="spellEnd"/>
      <w:r w:rsidRPr="00096519">
        <w:rPr>
          <w:rFonts w:ascii="FrankRuehl" w:hAnsi="FrankRuehl" w:cs="FrankRuehl"/>
          <w:rtl/>
        </w:rPr>
        <w:t xml:space="preserve"> זצ"ל ("הגהות חכמת שלמה", אורח חיים, סימן </w:t>
      </w:r>
      <w:proofErr w:type="spellStart"/>
      <w:r w:rsidRPr="00096519">
        <w:rPr>
          <w:rFonts w:ascii="FrankRuehl" w:hAnsi="FrankRuehl" w:cs="FrankRuehl"/>
          <w:rtl/>
        </w:rPr>
        <w:t>תקפג</w:t>
      </w:r>
      <w:proofErr w:type="spellEnd"/>
      <w:r w:rsidRPr="00096519">
        <w:rPr>
          <w:rFonts w:ascii="FrankRuehl" w:hAnsi="FrankRuehl" w:cs="FrankRuehl"/>
          <w:rtl/>
        </w:rPr>
        <w:t xml:space="preserve">, </w:t>
      </w:r>
      <w:proofErr w:type="spellStart"/>
      <w:r w:rsidRPr="00096519">
        <w:rPr>
          <w:rFonts w:ascii="FrankRuehl" w:hAnsi="FrankRuehl" w:cs="FrankRuehl"/>
          <w:rtl/>
        </w:rPr>
        <w:t>ס"ק</w:t>
      </w:r>
      <w:proofErr w:type="spellEnd"/>
      <w:r w:rsidRPr="00096519">
        <w:rPr>
          <w:rFonts w:ascii="FrankRuehl" w:hAnsi="FrankRuehl" w:cs="FrankRuehl"/>
          <w:rtl/>
        </w:rPr>
        <w:t xml:space="preserve"> א) נקט גישה אחרת. הוא סבר שאמירת ה"יהי רצון" אינה דרך תפילה, כיוון שאין מקום לתפילה בשעת אכילה. אלא, אמירת ה"יהי רצון" היא ביטוי לביטחון ולאמונה, משום שהיא מראה שהוא מאמין ובוטח שכך יהיה. הוא הוסיף שבראש השנה צריך להיות שמח ולומר שכל מה שעשה הוא יתברך – לטובה, ובזה יהיה הדבר נהפך באמת לטובה</w:t>
      </w:r>
      <w:r w:rsidRPr="00096519">
        <w:rPr>
          <w:rFonts w:ascii="FrankRuehl" w:hAnsi="FrankRuehl" w:cs="FrankRuehl"/>
        </w:rPr>
        <w:t>.</w:t>
      </w:r>
    </w:p>
    <w:p w14:paraId="0F771D96" w14:textId="7A0E53CA" w:rsidR="00D521C7" w:rsidRPr="00096519" w:rsidRDefault="00D521C7" w:rsidP="00D521C7">
      <w:pPr>
        <w:pStyle w:val="ae"/>
        <w:jc w:val="both"/>
        <w:rPr>
          <w:rFonts w:ascii="FrankRuehl" w:hAnsi="FrankRuehl" w:cs="FrankRuehl"/>
        </w:rPr>
      </w:pPr>
      <w:r w:rsidRPr="00096519">
        <w:rPr>
          <w:rFonts w:ascii="FrankRuehl" w:hAnsi="FrankRuehl" w:cs="FrankRuehl"/>
          <w:rtl/>
        </w:rPr>
        <w:t>אם כן, אכילת הסימנים ואמירת ה"יהי רצון" מטרתן להראות את ביטחונו בקב"ה, שיביא לנו את הטובה</w:t>
      </w:r>
      <w:r w:rsidRPr="00096519">
        <w:rPr>
          <w:rFonts w:ascii="FrankRuehl" w:hAnsi="FrankRuehl" w:cs="FrankRuehl"/>
        </w:rPr>
        <w:t>.</w:t>
      </w:r>
    </w:p>
  </w:footnote>
  <w:footnote w:id="5">
    <w:p w14:paraId="6342138C" w14:textId="79947BF6" w:rsidR="00334C1B" w:rsidRPr="00096519" w:rsidRDefault="00334C1B" w:rsidP="00334C1B">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חידושי "בית הבחירה", מסכת הוריות </w:t>
      </w:r>
      <w:proofErr w:type="spellStart"/>
      <w:r w:rsidRPr="00096519">
        <w:rPr>
          <w:rFonts w:ascii="FrankRuehl" w:hAnsi="FrankRuehl" w:cs="FrankRuehl"/>
          <w:rtl/>
        </w:rPr>
        <w:t>יב</w:t>
      </w:r>
      <w:proofErr w:type="spellEnd"/>
      <w:r w:rsidRPr="00096519">
        <w:rPr>
          <w:rFonts w:ascii="FrankRuehl" w:hAnsi="FrankRuehl" w:cs="FrankRuehl"/>
          <w:rtl/>
        </w:rPr>
        <w:t>, ע"א</w:t>
      </w:r>
      <w:r w:rsidRPr="00096519">
        <w:rPr>
          <w:rFonts w:ascii="FrankRuehl" w:hAnsi="FrankRuehl" w:cs="FrankRuehl"/>
        </w:rPr>
        <w:t>.</w:t>
      </w:r>
    </w:p>
  </w:footnote>
  <w:footnote w:id="6">
    <w:p w14:paraId="5E142E4B" w14:textId="5E3E039F" w:rsidR="00EC1AEF" w:rsidRPr="00096519" w:rsidRDefault="00EC1AEF" w:rsidP="00EC1AEF">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כעין זה כתב בעל </w:t>
      </w:r>
      <w:proofErr w:type="spellStart"/>
      <w:r w:rsidRPr="00096519">
        <w:rPr>
          <w:rFonts w:ascii="FrankRuehl" w:hAnsi="FrankRuehl" w:cs="FrankRuehl"/>
          <w:rtl/>
        </w:rPr>
        <w:t>ה"של"ה</w:t>
      </w:r>
      <w:proofErr w:type="spellEnd"/>
      <w:r w:rsidRPr="00096519">
        <w:rPr>
          <w:rFonts w:ascii="FrankRuehl" w:hAnsi="FrankRuehl" w:cs="FrankRuehl"/>
          <w:rtl/>
        </w:rPr>
        <w:t xml:space="preserve">", מסכת ראש השנה, פרק נר מצוה, אות </w:t>
      </w:r>
      <w:proofErr w:type="spellStart"/>
      <w:r w:rsidRPr="00096519">
        <w:rPr>
          <w:rFonts w:ascii="FrankRuehl" w:hAnsi="FrankRuehl" w:cs="FrankRuehl"/>
          <w:rtl/>
        </w:rPr>
        <w:t>כב</w:t>
      </w:r>
      <w:proofErr w:type="spellEnd"/>
      <w:r w:rsidRPr="00096519">
        <w:rPr>
          <w:rFonts w:ascii="FrankRuehl" w:hAnsi="FrankRuehl" w:cs="FrankRuehl"/>
        </w:rPr>
        <w:t>.</w:t>
      </w:r>
    </w:p>
  </w:footnote>
  <w:footnote w:id="7">
    <w:p w14:paraId="1D7ACDD4" w14:textId="10D6BA22" w:rsidR="00074FDD" w:rsidRPr="00096519" w:rsidRDefault="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"טור", אורח חיים, סימן </w:t>
      </w:r>
      <w:proofErr w:type="spellStart"/>
      <w:r w:rsidRPr="00096519">
        <w:rPr>
          <w:rFonts w:ascii="FrankRuehl" w:hAnsi="FrankRuehl" w:cs="FrankRuehl"/>
          <w:rtl/>
        </w:rPr>
        <w:t>תקפג</w:t>
      </w:r>
      <w:proofErr w:type="spellEnd"/>
      <w:r w:rsidRPr="00096519">
        <w:rPr>
          <w:rFonts w:ascii="FrankRuehl" w:hAnsi="FrankRuehl" w:cs="FrankRuehl"/>
          <w:rtl/>
        </w:rPr>
        <w:t xml:space="preserve">. </w:t>
      </w:r>
    </w:p>
  </w:footnote>
  <w:footnote w:id="8">
    <w:p w14:paraId="49BB0D85" w14:textId="6F5D5D8D" w:rsidR="00074FDD" w:rsidRPr="00096519" w:rsidRDefault="00074FDD" w:rsidP="00074FDD">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עיין בספר "עלי תמר", על הירושלמי, מסכת שבת, פרק ה, הלכה א; שם מובאת תשובת הגאונים שבה מבואר שמביאים את הסימנים ולא אוכלים אותם</w:t>
      </w:r>
      <w:r w:rsidRPr="00096519">
        <w:rPr>
          <w:rFonts w:ascii="FrankRuehl" w:hAnsi="FrankRuehl" w:cs="FrankRuehl"/>
        </w:rPr>
        <w:t>.</w:t>
      </w:r>
    </w:p>
  </w:footnote>
  <w:footnote w:id="9">
    <w:p w14:paraId="7F4A4A69" w14:textId="6C70F90F" w:rsidR="00074FDD" w:rsidRPr="00096519" w:rsidRDefault="00074FDD" w:rsidP="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שו"ת "דברי יציב", אורח חיים, סימן </w:t>
      </w:r>
      <w:proofErr w:type="spellStart"/>
      <w:r w:rsidRPr="00096519">
        <w:rPr>
          <w:rFonts w:ascii="FrankRuehl" w:hAnsi="FrankRuehl" w:cs="FrankRuehl"/>
          <w:rtl/>
        </w:rPr>
        <w:t>רנג</w:t>
      </w:r>
      <w:proofErr w:type="spellEnd"/>
      <w:r w:rsidRPr="00096519">
        <w:rPr>
          <w:rFonts w:ascii="FrankRuehl" w:hAnsi="FrankRuehl" w:cs="FrankRuehl"/>
        </w:rPr>
        <w:t>.</w:t>
      </w:r>
    </w:p>
  </w:footnote>
  <w:footnote w:id="10">
    <w:p w14:paraId="581AD87E" w14:textId="4B38E5FA" w:rsidR="00074FDD" w:rsidRPr="00096519" w:rsidRDefault="00074FDD" w:rsidP="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שו"ת "תשובות והנהגות", כרך ב, סימן </w:t>
      </w:r>
      <w:proofErr w:type="spellStart"/>
      <w:r w:rsidRPr="00096519">
        <w:rPr>
          <w:rFonts w:ascii="FrankRuehl" w:hAnsi="FrankRuehl" w:cs="FrankRuehl"/>
          <w:rtl/>
        </w:rPr>
        <w:t>רסו</w:t>
      </w:r>
      <w:proofErr w:type="spellEnd"/>
      <w:r w:rsidRPr="00096519">
        <w:rPr>
          <w:rFonts w:ascii="FrankRuehl" w:hAnsi="FrankRuehl" w:cs="FrankRuehl"/>
        </w:rPr>
        <w:t>.</w:t>
      </w:r>
    </w:p>
  </w:footnote>
  <w:footnote w:id="11">
    <w:p w14:paraId="10D1939A" w14:textId="38CDD4F1" w:rsidR="00074FDD" w:rsidRPr="00096519" w:rsidRDefault="00074FDD" w:rsidP="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עיין בספר "עלי תמר", על הירושלמי, מסכת שבת, פרק ה, הלכה א</w:t>
      </w:r>
      <w:r w:rsidRPr="00096519">
        <w:rPr>
          <w:rFonts w:ascii="FrankRuehl" w:hAnsi="FrankRuehl" w:cs="FrankRuehl"/>
        </w:rPr>
        <w:t>.</w:t>
      </w:r>
    </w:p>
  </w:footnote>
  <w:footnote w:id="12">
    <w:p w14:paraId="4AA45ED4" w14:textId="77777777" w:rsidR="00074FDD" w:rsidRPr="00096519" w:rsidRDefault="00074FDD" w:rsidP="00074FDD">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proofErr w:type="spellStart"/>
      <w:r w:rsidRPr="00096519">
        <w:rPr>
          <w:rFonts w:ascii="FrankRuehl" w:hAnsi="FrankRuehl" w:cs="FrankRuehl"/>
          <w:rtl/>
        </w:rPr>
        <w:t>החיד"א</w:t>
      </w:r>
      <w:proofErr w:type="spellEnd"/>
      <w:r w:rsidRPr="00096519">
        <w:rPr>
          <w:rFonts w:ascii="FrankRuehl" w:hAnsi="FrankRuehl" w:cs="FrankRuehl"/>
          <w:rtl/>
        </w:rPr>
        <w:t xml:space="preserve"> (בספרו "עבודת הקודש", בקונטרס "מורה באצבע", אות </w:t>
      </w:r>
      <w:proofErr w:type="spellStart"/>
      <w:r w:rsidRPr="00096519">
        <w:rPr>
          <w:rFonts w:ascii="FrankRuehl" w:hAnsi="FrankRuehl" w:cs="FrankRuehl"/>
          <w:rtl/>
        </w:rPr>
        <w:t>רסו</w:t>
      </w:r>
      <w:proofErr w:type="spellEnd"/>
      <w:r w:rsidRPr="00096519">
        <w:rPr>
          <w:rFonts w:ascii="FrankRuehl" w:hAnsi="FrankRuehl" w:cs="FrankRuehl"/>
          <w:rtl/>
        </w:rPr>
        <w:t xml:space="preserve">) כתב שנוהגים להביא את הסימנים גם בליל שני; אבל </w:t>
      </w:r>
      <w:proofErr w:type="spellStart"/>
      <w:r w:rsidRPr="00096519">
        <w:rPr>
          <w:rFonts w:ascii="FrankRuehl" w:hAnsi="FrankRuehl" w:cs="FrankRuehl"/>
          <w:rtl/>
        </w:rPr>
        <w:t>הגרי"מ</w:t>
      </w:r>
      <w:proofErr w:type="spellEnd"/>
      <w:r w:rsidRPr="00096519">
        <w:rPr>
          <w:rFonts w:ascii="FrankRuehl" w:hAnsi="FrankRuehl" w:cs="FrankRuehl"/>
          <w:rtl/>
        </w:rPr>
        <w:t xml:space="preserve"> כהן, בהערותיו שם, סבר שאין להביא את הסימנים בלילה השני, אלא דווקא בלילה הראשון</w:t>
      </w:r>
      <w:r w:rsidRPr="00096519">
        <w:rPr>
          <w:rFonts w:ascii="FrankRuehl" w:hAnsi="FrankRuehl" w:cs="FrankRuehl"/>
        </w:rPr>
        <w:t>.</w:t>
      </w:r>
    </w:p>
    <w:p w14:paraId="1ED6D8CA" w14:textId="77777777" w:rsidR="00074FDD" w:rsidRPr="00096519" w:rsidRDefault="00074FDD" w:rsidP="00074FDD">
      <w:pPr>
        <w:pStyle w:val="ae"/>
        <w:rPr>
          <w:rFonts w:ascii="FrankRuehl" w:hAnsi="FrankRuehl" w:cs="FrankRuehl"/>
        </w:rPr>
      </w:pPr>
      <w:r w:rsidRPr="00096519">
        <w:rPr>
          <w:rFonts w:ascii="FrankRuehl" w:hAnsi="FrankRuehl" w:cs="FrankRuehl"/>
          <w:rtl/>
        </w:rPr>
        <w:t xml:space="preserve">הרב יצחק </w:t>
      </w:r>
      <w:proofErr w:type="spellStart"/>
      <w:r w:rsidRPr="00096519">
        <w:rPr>
          <w:rFonts w:ascii="FrankRuehl" w:hAnsi="FrankRuehl" w:cs="FrankRuehl"/>
          <w:rtl/>
        </w:rPr>
        <w:t>טעסלר</w:t>
      </w:r>
      <w:proofErr w:type="spellEnd"/>
      <w:r w:rsidRPr="00096519">
        <w:rPr>
          <w:rFonts w:ascii="FrankRuehl" w:hAnsi="FrankRuehl" w:cs="FrankRuehl"/>
          <w:rtl/>
        </w:rPr>
        <w:t xml:space="preserve"> (בכתב העת "אור ישראל", מאנסי, כרך </w:t>
      </w:r>
      <w:proofErr w:type="spellStart"/>
      <w:r w:rsidRPr="00096519">
        <w:rPr>
          <w:rFonts w:ascii="FrankRuehl" w:hAnsi="FrankRuehl" w:cs="FrankRuehl"/>
          <w:rtl/>
        </w:rPr>
        <w:t>יג</w:t>
      </w:r>
      <w:proofErr w:type="spellEnd"/>
      <w:r w:rsidRPr="00096519">
        <w:rPr>
          <w:rFonts w:ascii="FrankRuehl" w:hAnsi="FrankRuehl" w:cs="FrankRuehl"/>
          <w:rtl/>
        </w:rPr>
        <w:t>, שנת תשנ"ט) הביא יסודות לשני המנהגים מדברי הראשונים</w:t>
      </w:r>
      <w:r w:rsidRPr="00096519">
        <w:rPr>
          <w:rFonts w:ascii="FrankRuehl" w:hAnsi="FrankRuehl" w:cs="FrankRuehl"/>
        </w:rPr>
        <w:t>.</w:t>
      </w:r>
    </w:p>
    <w:p w14:paraId="334774D5" w14:textId="77777777" w:rsidR="00074FDD" w:rsidRPr="00096519" w:rsidRDefault="00074FDD" w:rsidP="00074FDD">
      <w:pPr>
        <w:pStyle w:val="ae"/>
        <w:rPr>
          <w:rFonts w:ascii="FrankRuehl" w:hAnsi="FrankRuehl" w:cs="FrankRuehl"/>
        </w:rPr>
      </w:pPr>
      <w:r w:rsidRPr="00096519">
        <w:rPr>
          <w:rFonts w:ascii="FrankRuehl" w:hAnsi="FrankRuehl" w:cs="FrankRuehl"/>
          <w:rtl/>
        </w:rPr>
        <w:t xml:space="preserve">הרב משה </w:t>
      </w:r>
      <w:proofErr w:type="spellStart"/>
      <w:r w:rsidRPr="00096519">
        <w:rPr>
          <w:rFonts w:ascii="FrankRuehl" w:hAnsi="FrankRuehl" w:cs="FrankRuehl"/>
          <w:rtl/>
        </w:rPr>
        <w:t>שטרנבוך</w:t>
      </w:r>
      <w:proofErr w:type="spellEnd"/>
      <w:r w:rsidRPr="00096519">
        <w:rPr>
          <w:rFonts w:ascii="FrankRuehl" w:hAnsi="FrankRuehl" w:cs="FrankRuehl"/>
          <w:rtl/>
        </w:rPr>
        <w:t xml:space="preserve"> </w:t>
      </w:r>
      <w:proofErr w:type="spellStart"/>
      <w:r w:rsidRPr="00096519">
        <w:rPr>
          <w:rFonts w:ascii="FrankRuehl" w:hAnsi="FrankRuehl" w:cs="FrankRuehl"/>
          <w:rtl/>
        </w:rPr>
        <w:t>שליט"א</w:t>
      </w:r>
      <w:proofErr w:type="spellEnd"/>
      <w:r w:rsidRPr="00096519">
        <w:rPr>
          <w:rFonts w:ascii="FrankRuehl" w:hAnsi="FrankRuehl" w:cs="FrankRuehl"/>
          <w:rtl/>
        </w:rPr>
        <w:t xml:space="preserve"> (שו"ת "תשובות והנהגות", כרך ב, סימן </w:t>
      </w:r>
      <w:proofErr w:type="spellStart"/>
      <w:r w:rsidRPr="00096519">
        <w:rPr>
          <w:rFonts w:ascii="FrankRuehl" w:hAnsi="FrankRuehl" w:cs="FrankRuehl"/>
          <w:rtl/>
        </w:rPr>
        <w:t>רסו</w:t>
      </w:r>
      <w:proofErr w:type="spellEnd"/>
      <w:r w:rsidRPr="00096519">
        <w:rPr>
          <w:rFonts w:ascii="FrankRuehl" w:hAnsi="FrankRuehl" w:cs="FrankRuehl"/>
          <w:rtl/>
        </w:rPr>
        <w:t>) נוהג להביא ולאכול את הסימנים בכל הסעודות של ראש השנה, כיוון שלא מבואר במפורש מתי להביא את הסימנים</w:t>
      </w:r>
      <w:r w:rsidRPr="00096519">
        <w:rPr>
          <w:rFonts w:ascii="FrankRuehl" w:hAnsi="FrankRuehl" w:cs="FrankRuehl"/>
        </w:rPr>
        <w:t>.</w:t>
      </w:r>
    </w:p>
    <w:p w14:paraId="519A5CB5" w14:textId="02C6A63A" w:rsidR="00074FDD" w:rsidRPr="00096519" w:rsidRDefault="00074FDD" w:rsidP="00074FDD">
      <w:pPr>
        <w:pStyle w:val="ae"/>
        <w:rPr>
          <w:rFonts w:ascii="FrankRuehl" w:hAnsi="FrankRuehl" w:cs="FrankRuehl"/>
          <w:rtl/>
        </w:rPr>
      </w:pPr>
      <w:r w:rsidRPr="00096519">
        <w:rPr>
          <w:rFonts w:ascii="FrankRuehl" w:hAnsi="FrankRuehl" w:cs="FrankRuehl"/>
          <w:rtl/>
        </w:rPr>
        <w:t>יש מנהג מעניין בספר "לקט יושר" (ד"צ, ירושלים, תשכ"ד, עמ' 129), שנקט לאכול את הסימנים בכל עשרת ימי תשובה</w:t>
      </w:r>
      <w:r w:rsidRPr="00096519">
        <w:rPr>
          <w:rFonts w:ascii="FrankRuehl" w:hAnsi="FrankRuehl" w:cs="FrankRuehl"/>
        </w:rPr>
        <w:t>.</w:t>
      </w:r>
    </w:p>
  </w:footnote>
  <w:footnote w:id="13">
    <w:p w14:paraId="4B1F8C03" w14:textId="0384FF35" w:rsidR="00074FDD" w:rsidRPr="00096519" w:rsidRDefault="00074FDD" w:rsidP="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אורח חיים, סימן </w:t>
      </w:r>
      <w:proofErr w:type="spellStart"/>
      <w:r w:rsidRPr="00096519">
        <w:rPr>
          <w:rFonts w:ascii="FrankRuehl" w:hAnsi="FrankRuehl" w:cs="FrankRuehl"/>
          <w:rtl/>
        </w:rPr>
        <w:t>תקפג</w:t>
      </w:r>
      <w:proofErr w:type="spellEnd"/>
      <w:r w:rsidRPr="00096519">
        <w:rPr>
          <w:rFonts w:ascii="FrankRuehl" w:hAnsi="FrankRuehl" w:cs="FrankRuehl"/>
          <w:rtl/>
        </w:rPr>
        <w:t>, סעיף ב</w:t>
      </w:r>
      <w:r w:rsidRPr="00096519">
        <w:rPr>
          <w:rFonts w:ascii="FrankRuehl" w:hAnsi="FrankRuehl" w:cs="FrankRuehl"/>
        </w:rPr>
        <w:t>.</w:t>
      </w:r>
    </w:p>
  </w:footnote>
  <w:footnote w:id="14">
    <w:p w14:paraId="7A51AE41" w14:textId="603A41B0" w:rsidR="00074FDD" w:rsidRPr="00096519" w:rsidRDefault="00074FDD" w:rsidP="00074FDD">
      <w:pPr>
        <w:pStyle w:val="ae"/>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בדברי הרב צבי פסח </w:t>
      </w:r>
      <w:proofErr w:type="spellStart"/>
      <w:r w:rsidRPr="00096519">
        <w:rPr>
          <w:rFonts w:ascii="FrankRuehl" w:hAnsi="FrankRuehl" w:cs="FrankRuehl"/>
          <w:rtl/>
        </w:rPr>
        <w:t>פראנק</w:t>
      </w:r>
      <w:proofErr w:type="spellEnd"/>
      <w:r w:rsidRPr="00096519">
        <w:rPr>
          <w:rFonts w:ascii="FrankRuehl" w:hAnsi="FrankRuehl" w:cs="FrankRuehl"/>
          <w:rtl/>
        </w:rPr>
        <w:t xml:space="preserve"> זצ"ל, בספרו "מקראי קודש", ימים נוראים, סימן ז</w:t>
      </w:r>
      <w:r w:rsidRPr="00096519">
        <w:rPr>
          <w:rFonts w:ascii="FrankRuehl" w:hAnsi="FrankRuehl" w:cs="FrankRuehl"/>
        </w:rPr>
        <w:t>.</w:t>
      </w:r>
    </w:p>
  </w:footnote>
  <w:footnote w:id="15">
    <w:p w14:paraId="18AA7311" w14:textId="11DA6ED2" w:rsidR="00074FDD" w:rsidRPr="00096519" w:rsidRDefault="00074FDD" w:rsidP="00074FDD">
      <w:pPr>
        <w:pStyle w:val="ae"/>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Pr>
        <w:t>"</w:t>
      </w:r>
      <w:r w:rsidRPr="00096519">
        <w:rPr>
          <w:rFonts w:ascii="FrankRuehl" w:hAnsi="FrankRuehl" w:cs="FrankRuehl"/>
          <w:rtl/>
        </w:rPr>
        <w:t xml:space="preserve">מגן אברהם", אורח חיים, סימן </w:t>
      </w:r>
      <w:proofErr w:type="spellStart"/>
      <w:r w:rsidRPr="00096519">
        <w:rPr>
          <w:rFonts w:ascii="FrankRuehl" w:hAnsi="FrankRuehl" w:cs="FrankRuehl"/>
          <w:rtl/>
        </w:rPr>
        <w:t>תקפג</w:t>
      </w:r>
      <w:proofErr w:type="spellEnd"/>
      <w:r w:rsidRPr="00096519">
        <w:rPr>
          <w:rFonts w:ascii="FrankRuehl" w:hAnsi="FrankRuehl" w:cs="FrankRuehl"/>
          <w:rtl/>
        </w:rPr>
        <w:t xml:space="preserve">, </w:t>
      </w:r>
      <w:proofErr w:type="spellStart"/>
      <w:r w:rsidRPr="00096519">
        <w:rPr>
          <w:rFonts w:ascii="FrankRuehl" w:hAnsi="FrankRuehl" w:cs="FrankRuehl"/>
          <w:rtl/>
        </w:rPr>
        <w:t>ס"ק</w:t>
      </w:r>
      <w:proofErr w:type="spellEnd"/>
      <w:r w:rsidRPr="00096519">
        <w:rPr>
          <w:rFonts w:ascii="FrankRuehl" w:hAnsi="FrankRuehl" w:cs="FrankRuehl"/>
          <w:rtl/>
        </w:rPr>
        <w:t xml:space="preserve"> ב</w:t>
      </w:r>
      <w:r w:rsidRPr="00096519">
        <w:rPr>
          <w:rFonts w:ascii="FrankRuehl" w:hAnsi="FrankRuehl" w:cs="FrankRuehl"/>
        </w:rPr>
        <w:t>.</w:t>
      </w:r>
    </w:p>
  </w:footnote>
  <w:footnote w:id="16">
    <w:p w14:paraId="52F0B905" w14:textId="035B02A9" w:rsidR="00C759DD" w:rsidRPr="00096519" w:rsidRDefault="00C759DD" w:rsidP="00C759DD">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הרב צבי פסח </w:t>
      </w:r>
      <w:proofErr w:type="spellStart"/>
      <w:r w:rsidRPr="00096519">
        <w:rPr>
          <w:rFonts w:ascii="FrankRuehl" w:hAnsi="FrankRuehl" w:cs="FrankRuehl"/>
          <w:rtl/>
        </w:rPr>
        <w:t>פראנק</w:t>
      </w:r>
      <w:proofErr w:type="spellEnd"/>
      <w:r w:rsidRPr="00096519">
        <w:rPr>
          <w:rFonts w:ascii="FrankRuehl" w:hAnsi="FrankRuehl" w:cs="FrankRuehl"/>
          <w:rtl/>
        </w:rPr>
        <w:t xml:space="preserve"> זצ"ל (בספרו "מקראי קודש", ימים נוראים, סימן ז) הסביר שאין לומר את ה</w:t>
      </w:r>
      <w:r w:rsidRPr="00096519">
        <w:rPr>
          <w:rFonts w:ascii="FrankRuehl" w:hAnsi="FrankRuehl" w:cs="FrankRuehl"/>
          <w:rtl/>
        </w:rPr>
        <w:t>"</w:t>
      </w:r>
      <w:r w:rsidRPr="00096519">
        <w:rPr>
          <w:rFonts w:ascii="FrankRuehl" w:hAnsi="FrankRuehl" w:cs="FrankRuehl"/>
          <w:rtl/>
        </w:rPr>
        <w:t>יהי רצון</w:t>
      </w:r>
      <w:r w:rsidRPr="00096519">
        <w:rPr>
          <w:rFonts w:ascii="FrankRuehl" w:hAnsi="FrankRuehl" w:cs="FrankRuehl"/>
          <w:rtl/>
        </w:rPr>
        <w:t>"</w:t>
      </w:r>
      <w:r w:rsidRPr="00096519">
        <w:rPr>
          <w:rFonts w:ascii="FrankRuehl" w:hAnsi="FrankRuehl" w:cs="FrankRuehl"/>
          <w:rtl/>
        </w:rPr>
        <w:t xml:space="preserve"> קודם אמירת הברכה כיון שמבואר בגמרא במסכת ברכות (לא, ע"א) שיסדר שבחו ואחר כך יתפלל. לכן, יש לשבח את הקב"ה לפני הבקשות. לכן, אין לומר איזו בקשה קודם שאומר את הברכה על הפרי. </w:t>
      </w:r>
    </w:p>
  </w:footnote>
  <w:footnote w:id="17">
    <w:p w14:paraId="62C50453" w14:textId="77777777" w:rsidR="00C759DD" w:rsidRPr="00096519" w:rsidRDefault="00C759DD" w:rsidP="00C759DD">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יש לחוש לשיטות שיש כאן הפסק בברכה. </w:t>
      </w:r>
    </w:p>
  </w:footnote>
  <w:footnote w:id="18">
    <w:p w14:paraId="14A0E47A" w14:textId="77777777" w:rsidR="00C759DD" w:rsidRPr="00096519" w:rsidRDefault="00C759DD" w:rsidP="00C759DD">
      <w:pPr>
        <w:pStyle w:val="ae"/>
        <w:jc w:val="both"/>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"בית יוסף", אורח חיים, סימן </w:t>
      </w:r>
      <w:proofErr w:type="spellStart"/>
      <w:r w:rsidRPr="00096519">
        <w:rPr>
          <w:rFonts w:ascii="FrankRuehl" w:hAnsi="FrankRuehl" w:cs="FrankRuehl"/>
          <w:rtl/>
        </w:rPr>
        <w:t>תקפג</w:t>
      </w:r>
      <w:proofErr w:type="spellEnd"/>
      <w:r w:rsidRPr="00096519">
        <w:rPr>
          <w:rFonts w:ascii="FrankRuehl" w:hAnsi="FrankRuehl" w:cs="FrankRuehl"/>
          <w:rtl/>
        </w:rPr>
        <w:t>;</w:t>
      </w:r>
      <w:r w:rsidRPr="00096519">
        <w:rPr>
          <w:rFonts w:ascii="FrankRuehl" w:hAnsi="FrankRuehl" w:cs="FrankRuehl"/>
        </w:rPr>
        <w:t xml:space="preserve"> </w:t>
      </w:r>
      <w:r w:rsidRPr="00096519">
        <w:rPr>
          <w:rFonts w:ascii="FrankRuehl" w:hAnsi="FrankRuehl" w:cs="FrankRuehl"/>
          <w:rtl/>
        </w:rPr>
        <w:t xml:space="preserve">"משנה ברורה" שם, </w:t>
      </w:r>
      <w:proofErr w:type="spellStart"/>
      <w:r w:rsidRPr="00096519">
        <w:rPr>
          <w:rFonts w:ascii="FrankRuehl" w:hAnsi="FrankRuehl" w:cs="FrankRuehl"/>
          <w:rtl/>
        </w:rPr>
        <w:t>ס"ק</w:t>
      </w:r>
      <w:proofErr w:type="spellEnd"/>
      <w:r w:rsidRPr="00096519">
        <w:rPr>
          <w:rFonts w:ascii="FrankRuehl" w:hAnsi="FrankRuehl" w:cs="FrankRuehl"/>
          <w:rtl/>
        </w:rPr>
        <w:t xml:space="preserve"> ב. </w:t>
      </w:r>
    </w:p>
  </w:footnote>
  <w:footnote w:id="19">
    <w:p w14:paraId="3199FEC3" w14:textId="77777777" w:rsidR="00C759DD" w:rsidRPr="00096519" w:rsidRDefault="00C759DD" w:rsidP="00C759DD">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"קיצור שולחן ערוך", סימן </w:t>
      </w:r>
      <w:proofErr w:type="spellStart"/>
      <w:r w:rsidRPr="00096519">
        <w:rPr>
          <w:rFonts w:ascii="FrankRuehl" w:hAnsi="FrankRuehl" w:cs="FrankRuehl"/>
          <w:rtl/>
        </w:rPr>
        <w:t>קכט</w:t>
      </w:r>
      <w:proofErr w:type="spellEnd"/>
      <w:r w:rsidRPr="00096519">
        <w:rPr>
          <w:rFonts w:ascii="FrankRuehl" w:hAnsi="FrankRuehl" w:cs="FrankRuehl"/>
          <w:rtl/>
        </w:rPr>
        <w:t>, סעיף ט;</w:t>
      </w:r>
      <w:r w:rsidRPr="00096519">
        <w:rPr>
          <w:rFonts w:ascii="FrankRuehl" w:hAnsi="FrankRuehl" w:cs="FrankRuehl"/>
        </w:rPr>
        <w:t xml:space="preserve"> </w:t>
      </w:r>
      <w:r w:rsidRPr="00096519">
        <w:rPr>
          <w:rFonts w:ascii="FrankRuehl" w:hAnsi="FrankRuehl" w:cs="FrankRuehl"/>
          <w:rtl/>
        </w:rPr>
        <w:t xml:space="preserve">"אורחות רבנו, חלק ב, עמ' </w:t>
      </w:r>
      <w:proofErr w:type="spellStart"/>
      <w:r w:rsidRPr="00096519">
        <w:rPr>
          <w:rFonts w:ascii="FrankRuehl" w:hAnsi="FrankRuehl" w:cs="FrankRuehl"/>
          <w:rtl/>
        </w:rPr>
        <w:t>קעה</w:t>
      </w:r>
      <w:proofErr w:type="spellEnd"/>
      <w:r w:rsidRPr="00096519">
        <w:rPr>
          <w:rFonts w:ascii="FrankRuehl" w:hAnsi="FrankRuehl" w:cs="FrankRuehl"/>
          <w:rtl/>
        </w:rPr>
        <w:t xml:space="preserve">. </w:t>
      </w:r>
    </w:p>
  </w:footnote>
  <w:footnote w:id="20">
    <w:p w14:paraId="12CDBE3A" w14:textId="77777777" w:rsidR="00C759DD" w:rsidRPr="00096519" w:rsidRDefault="00C759DD" w:rsidP="00C759DD">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בסידור הרב בעל התניא. </w:t>
      </w:r>
    </w:p>
  </w:footnote>
  <w:footnote w:id="21">
    <w:p w14:paraId="628951CE" w14:textId="77777777" w:rsidR="00C759DD" w:rsidRPr="00096519" w:rsidRDefault="00C759DD" w:rsidP="00C759DD">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קונטרס </w:t>
      </w:r>
      <w:proofErr w:type="spellStart"/>
      <w:r w:rsidRPr="00096519">
        <w:rPr>
          <w:rFonts w:ascii="FrankRuehl" w:hAnsi="FrankRuehl" w:cs="FrankRuehl"/>
          <w:rtl/>
        </w:rPr>
        <w:t>סימנא</w:t>
      </w:r>
      <w:proofErr w:type="spellEnd"/>
      <w:r w:rsidRPr="00096519">
        <w:rPr>
          <w:rFonts w:ascii="FrankRuehl" w:hAnsi="FrankRuehl" w:cs="FrankRuehl"/>
          <w:rtl/>
        </w:rPr>
        <w:t xml:space="preserve"> מילתא </w:t>
      </w:r>
      <w:proofErr w:type="spellStart"/>
      <w:r w:rsidRPr="00096519">
        <w:rPr>
          <w:rFonts w:ascii="FrankRuehl" w:hAnsi="FrankRuehl" w:cs="FrankRuehl"/>
          <w:rtl/>
        </w:rPr>
        <w:t>להגרח"י</w:t>
      </w:r>
      <w:proofErr w:type="spellEnd"/>
      <w:r w:rsidRPr="00096519">
        <w:rPr>
          <w:rFonts w:ascii="FrankRuehl" w:hAnsi="FrankRuehl" w:cs="FrankRuehl"/>
          <w:rtl/>
        </w:rPr>
        <w:t xml:space="preserve"> </w:t>
      </w:r>
      <w:proofErr w:type="spellStart"/>
      <w:r w:rsidRPr="00096519">
        <w:rPr>
          <w:rFonts w:ascii="FrankRuehl" w:hAnsi="FrankRuehl" w:cs="FrankRuehl"/>
          <w:rtl/>
        </w:rPr>
        <w:t>יעקובסון</w:t>
      </w:r>
      <w:proofErr w:type="spellEnd"/>
      <w:r w:rsidRPr="00096519">
        <w:rPr>
          <w:rFonts w:ascii="FrankRuehl" w:hAnsi="FrankRuehl" w:cs="FrankRuehl"/>
          <w:rtl/>
        </w:rPr>
        <w:t xml:space="preserve">. </w:t>
      </w:r>
    </w:p>
  </w:footnote>
  <w:footnote w:id="22">
    <w:p w14:paraId="30349E83" w14:textId="77777777" w:rsidR="00096519" w:rsidRPr="00096519" w:rsidRDefault="00096519" w:rsidP="00096519">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"לוח ארץ ישראל", בשם הרב יוסף חיים </w:t>
      </w:r>
      <w:proofErr w:type="spellStart"/>
      <w:r w:rsidRPr="00096519">
        <w:rPr>
          <w:rFonts w:ascii="FrankRuehl" w:hAnsi="FrankRuehl" w:cs="FrankRuehl"/>
          <w:rtl/>
        </w:rPr>
        <w:t>זוננפלד</w:t>
      </w:r>
      <w:proofErr w:type="spellEnd"/>
      <w:r w:rsidRPr="00096519">
        <w:rPr>
          <w:rFonts w:ascii="FrankRuehl" w:hAnsi="FrankRuehl" w:cs="FrankRuehl"/>
          <w:rtl/>
        </w:rPr>
        <w:t xml:space="preserve"> זצ"ל; "כף החיים", אורח חיים </w:t>
      </w:r>
      <w:proofErr w:type="spellStart"/>
      <w:r w:rsidRPr="00096519">
        <w:rPr>
          <w:rFonts w:ascii="FrankRuehl" w:hAnsi="FrankRuehl" w:cs="FrankRuehl"/>
          <w:rtl/>
        </w:rPr>
        <w:t>תקפג</w:t>
      </w:r>
      <w:proofErr w:type="spellEnd"/>
      <w:r w:rsidRPr="00096519">
        <w:rPr>
          <w:rFonts w:ascii="FrankRuehl" w:hAnsi="FrankRuehl" w:cs="FrankRuehl"/>
          <w:rtl/>
        </w:rPr>
        <w:t>, כה;</w:t>
      </w:r>
      <w:r w:rsidRPr="00096519">
        <w:rPr>
          <w:rFonts w:ascii="FrankRuehl" w:hAnsi="FrankRuehl" w:cs="FrankRuehl"/>
        </w:rPr>
        <w:t xml:space="preserve"> </w:t>
      </w:r>
      <w:r w:rsidRPr="00096519">
        <w:rPr>
          <w:rFonts w:ascii="FrankRuehl" w:hAnsi="FrankRuehl" w:cs="FrankRuehl"/>
          <w:rtl/>
        </w:rPr>
        <w:t xml:space="preserve">"מחזור המפורש" בשם הרב שלמה זלמן </w:t>
      </w:r>
      <w:proofErr w:type="spellStart"/>
      <w:r w:rsidRPr="00096519">
        <w:rPr>
          <w:rFonts w:ascii="FrankRuehl" w:hAnsi="FrankRuehl" w:cs="FrankRuehl"/>
          <w:rtl/>
        </w:rPr>
        <w:t>אויערבאך</w:t>
      </w:r>
      <w:proofErr w:type="spellEnd"/>
      <w:r w:rsidRPr="00096519">
        <w:rPr>
          <w:rFonts w:ascii="FrankRuehl" w:hAnsi="FrankRuehl" w:cs="FrankRuehl"/>
          <w:rtl/>
        </w:rPr>
        <w:t xml:space="preserve"> זצ"ל. </w:t>
      </w:r>
    </w:p>
  </w:footnote>
  <w:footnote w:id="23">
    <w:p w14:paraId="0DD53DA3" w14:textId="77777777" w:rsidR="00096519" w:rsidRPr="00096519" w:rsidRDefault="00096519" w:rsidP="00096519">
      <w:pPr>
        <w:pStyle w:val="ae"/>
        <w:jc w:val="both"/>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"אוצר מנהגי חב"ד", ראש השנה, אותת </w:t>
      </w:r>
      <w:proofErr w:type="spellStart"/>
      <w:r w:rsidRPr="00096519">
        <w:rPr>
          <w:rFonts w:ascii="FrankRuehl" w:hAnsi="FrankRuehl" w:cs="FrankRuehl"/>
          <w:rtl/>
        </w:rPr>
        <w:t>קמ</w:t>
      </w:r>
      <w:proofErr w:type="spellEnd"/>
      <w:r w:rsidRPr="00096519">
        <w:rPr>
          <w:rFonts w:ascii="FrankRuehl" w:hAnsi="FrankRuehl" w:cs="FrankRuehl"/>
          <w:rtl/>
        </w:rPr>
        <w:t>;</w:t>
      </w:r>
      <w:r w:rsidRPr="00096519">
        <w:rPr>
          <w:rFonts w:ascii="FrankRuehl" w:hAnsi="FrankRuehl" w:cs="FrankRuehl"/>
        </w:rPr>
        <w:t xml:space="preserve"> </w:t>
      </w:r>
      <w:r w:rsidRPr="00096519">
        <w:rPr>
          <w:rFonts w:ascii="FrankRuehl" w:hAnsi="FrankRuehl" w:cs="FrankRuehl"/>
          <w:rtl/>
        </w:rPr>
        <w:t xml:space="preserve">"כף החיים", אורח חיים </w:t>
      </w:r>
      <w:proofErr w:type="spellStart"/>
      <w:r w:rsidRPr="00096519">
        <w:rPr>
          <w:rFonts w:ascii="FrankRuehl" w:hAnsi="FrankRuehl" w:cs="FrankRuehl"/>
          <w:rtl/>
        </w:rPr>
        <w:t>תקפג</w:t>
      </w:r>
      <w:proofErr w:type="spellEnd"/>
      <w:r w:rsidRPr="00096519">
        <w:rPr>
          <w:rFonts w:ascii="FrankRuehl" w:hAnsi="FrankRuehl" w:cs="FrankRuehl"/>
          <w:rtl/>
        </w:rPr>
        <w:t xml:space="preserve">, </w:t>
      </w:r>
      <w:proofErr w:type="spellStart"/>
      <w:r w:rsidRPr="00096519">
        <w:rPr>
          <w:rFonts w:ascii="FrankRuehl" w:hAnsi="FrankRuehl" w:cs="FrankRuehl"/>
          <w:rtl/>
        </w:rPr>
        <w:t>יג</w:t>
      </w:r>
      <w:proofErr w:type="spellEnd"/>
      <w:r w:rsidRPr="00096519">
        <w:rPr>
          <w:rFonts w:ascii="FrankRuehl" w:hAnsi="FrankRuehl" w:cs="FrankRuehl"/>
          <w:rtl/>
        </w:rPr>
        <w:t xml:space="preserve">. </w:t>
      </w:r>
    </w:p>
  </w:footnote>
  <w:footnote w:id="24">
    <w:p w14:paraId="05EEB660" w14:textId="77777777" w:rsidR="00096519" w:rsidRPr="00096519" w:rsidRDefault="00096519" w:rsidP="00096519">
      <w:pPr>
        <w:pStyle w:val="ae"/>
        <w:jc w:val="both"/>
        <w:rPr>
          <w:rFonts w:ascii="FrankRuehl" w:hAnsi="FrankRuehl" w:cs="FrankRueh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"כף החיים", אורח חיים </w:t>
      </w:r>
      <w:proofErr w:type="spellStart"/>
      <w:r w:rsidRPr="00096519">
        <w:rPr>
          <w:rFonts w:ascii="FrankRuehl" w:hAnsi="FrankRuehl" w:cs="FrankRuehl"/>
          <w:rtl/>
        </w:rPr>
        <w:t>תקפג</w:t>
      </w:r>
      <w:proofErr w:type="spellEnd"/>
      <w:r w:rsidRPr="00096519">
        <w:rPr>
          <w:rFonts w:ascii="FrankRuehl" w:hAnsi="FrankRuehl" w:cs="FrankRuehl"/>
          <w:rtl/>
        </w:rPr>
        <w:t xml:space="preserve">, יב. </w:t>
      </w:r>
    </w:p>
  </w:footnote>
  <w:footnote w:id="25">
    <w:p w14:paraId="03105B60" w14:textId="77777777" w:rsidR="00096519" w:rsidRPr="00096519" w:rsidRDefault="00096519" w:rsidP="00096519">
      <w:pPr>
        <w:pStyle w:val="ae"/>
        <w:jc w:val="both"/>
        <w:rPr>
          <w:rFonts w:ascii="FrankRuehl" w:hAnsi="FrankRuehl" w:cs="FrankRuehl"/>
          <w:rtl/>
        </w:rPr>
      </w:pPr>
      <w:r w:rsidRPr="00096519">
        <w:rPr>
          <w:rStyle w:val="af0"/>
          <w:rFonts w:ascii="FrankRuehl" w:hAnsi="FrankRuehl" w:cs="FrankRuehl"/>
        </w:rPr>
        <w:footnoteRef/>
      </w:r>
      <w:r w:rsidRPr="00096519">
        <w:rPr>
          <w:rFonts w:ascii="FrankRuehl" w:hAnsi="FrankRuehl" w:cs="FrankRuehl"/>
          <w:rtl/>
        </w:rPr>
        <w:t xml:space="preserve"> </w:t>
      </w:r>
      <w:r w:rsidRPr="00096519">
        <w:rPr>
          <w:rFonts w:ascii="FrankRuehl" w:hAnsi="FrankRuehl" w:cs="FrankRuehl"/>
          <w:rtl/>
        </w:rPr>
        <w:t xml:space="preserve">עיין בספר "אלף המגן", אורח חיים </w:t>
      </w:r>
      <w:proofErr w:type="spellStart"/>
      <w:r w:rsidRPr="00096519">
        <w:rPr>
          <w:rFonts w:ascii="FrankRuehl" w:hAnsi="FrankRuehl" w:cs="FrankRuehl"/>
          <w:rtl/>
        </w:rPr>
        <w:t>תקפג</w:t>
      </w:r>
      <w:proofErr w:type="spellEnd"/>
      <w:r w:rsidRPr="00096519">
        <w:rPr>
          <w:rFonts w:ascii="FrankRuehl" w:hAnsi="FrankRuehl" w:cs="FrankRuehl"/>
          <w:rtl/>
        </w:rPr>
        <w:t xml:space="preserve">, </w:t>
      </w:r>
      <w:proofErr w:type="spellStart"/>
      <w:r w:rsidRPr="00096519">
        <w:rPr>
          <w:rFonts w:ascii="FrankRuehl" w:hAnsi="FrankRuehl" w:cs="FrankRuehl"/>
          <w:rtl/>
        </w:rPr>
        <w:t>יג</w:t>
      </w:r>
      <w:proofErr w:type="spellEnd"/>
      <w:r w:rsidRPr="00096519">
        <w:rPr>
          <w:rFonts w:ascii="FrankRuehl" w:hAnsi="FrankRuehl" w:cs="FrankRuehl"/>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9F20" w14:textId="4B030460" w:rsidR="00096519" w:rsidRPr="00096519" w:rsidRDefault="00096519">
    <w:pPr>
      <w:pStyle w:val="af1"/>
      <w:jc w:val="right"/>
      <w:rPr>
        <w:rFonts w:cs="Guttman Vilna"/>
      </w:rPr>
    </w:pPr>
    <w:r w:rsidRPr="00096519">
      <w:rPr>
        <w:rFonts w:cs="Guttman Vilna" w:hint="cs"/>
        <w:rtl/>
      </w:rPr>
      <w:t xml:space="preserve"> עלון חכם לב </w:t>
    </w:r>
    <w:sdt>
      <w:sdtPr>
        <w:rPr>
          <w:rFonts w:cs="Guttman Vilna"/>
          <w:rtl/>
        </w:rPr>
        <w:id w:val="1638690016"/>
        <w:docPartObj>
          <w:docPartGallery w:val="Page Numbers (Top of Page)"/>
          <w:docPartUnique/>
        </w:docPartObj>
      </w:sdtPr>
      <w:sdtContent>
        <w:r w:rsidRPr="00096519">
          <w:rPr>
            <w:rFonts w:cs="Guttman Vilna"/>
          </w:rPr>
          <w:fldChar w:fldCharType="begin"/>
        </w:r>
        <w:r w:rsidRPr="00096519">
          <w:rPr>
            <w:rFonts w:cs="Guttman Vilna"/>
          </w:rPr>
          <w:instrText>PAGE   \* MERGEFORMAT</w:instrText>
        </w:r>
        <w:r w:rsidRPr="00096519">
          <w:rPr>
            <w:rFonts w:cs="Guttman Vilna"/>
          </w:rPr>
          <w:fldChar w:fldCharType="separate"/>
        </w:r>
        <w:r w:rsidRPr="00096519">
          <w:rPr>
            <w:rFonts w:cs="Guttman Vilna"/>
            <w:rtl/>
            <w:lang w:val="he-IL"/>
          </w:rPr>
          <w:t>2</w:t>
        </w:r>
        <w:r w:rsidRPr="00096519">
          <w:rPr>
            <w:rFonts w:cs="Guttman Vilna"/>
          </w:rPr>
          <w:fldChar w:fldCharType="end"/>
        </w:r>
      </w:sdtContent>
    </w:sdt>
  </w:p>
  <w:p w14:paraId="53FBF565" w14:textId="77777777" w:rsidR="00096519" w:rsidRDefault="0009651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Guttman Vilna"/>
        <w:rtl/>
      </w:rPr>
      <w:id w:val="2030529462"/>
      <w:docPartObj>
        <w:docPartGallery w:val="Page Numbers (Top of Page)"/>
        <w:docPartUnique/>
      </w:docPartObj>
    </w:sdtPr>
    <w:sdtContent>
      <w:p w14:paraId="1E1E54A5" w14:textId="06F69F98" w:rsidR="00096519" w:rsidRPr="00096519" w:rsidRDefault="00096519">
        <w:pPr>
          <w:pStyle w:val="af1"/>
          <w:rPr>
            <w:rFonts w:cs="Guttman Vilna"/>
          </w:rPr>
        </w:pPr>
        <w:r w:rsidRPr="00096519">
          <w:rPr>
            <w:rFonts w:cs="Guttman Vilna"/>
          </w:rPr>
          <w:fldChar w:fldCharType="begin"/>
        </w:r>
        <w:r w:rsidRPr="00096519">
          <w:rPr>
            <w:rFonts w:cs="Guttman Vilna"/>
          </w:rPr>
          <w:instrText>PAGE   \* MERGEFORMAT</w:instrText>
        </w:r>
        <w:r w:rsidRPr="00096519">
          <w:rPr>
            <w:rFonts w:cs="Guttman Vilna"/>
          </w:rPr>
          <w:fldChar w:fldCharType="separate"/>
        </w:r>
        <w:r w:rsidRPr="00096519">
          <w:rPr>
            <w:rFonts w:cs="Guttman Vilna"/>
            <w:rtl/>
            <w:lang w:val="he-IL"/>
          </w:rPr>
          <w:t>2</w:t>
        </w:r>
        <w:r w:rsidRPr="00096519">
          <w:rPr>
            <w:rFonts w:cs="Guttman Vilna"/>
          </w:rPr>
          <w:fldChar w:fldCharType="end"/>
        </w:r>
        <w:r w:rsidRPr="00096519">
          <w:rPr>
            <w:rFonts w:cs="Guttman Vilna" w:hint="cs"/>
            <w:rtl/>
          </w:rPr>
          <w:t xml:space="preserve"> ראש השנה</w:t>
        </w:r>
      </w:p>
    </w:sdtContent>
  </w:sdt>
  <w:p w14:paraId="501A8057" w14:textId="77777777" w:rsidR="00096519" w:rsidRPr="00096519" w:rsidRDefault="00096519">
    <w:pPr>
      <w:pStyle w:val="af1"/>
      <w:rPr>
        <w:rFonts w:cs="Guttman Viln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325"/>
    <w:rsid w:val="00074FDD"/>
    <w:rsid w:val="00096519"/>
    <w:rsid w:val="00334C1B"/>
    <w:rsid w:val="005C1D95"/>
    <w:rsid w:val="00640A10"/>
    <w:rsid w:val="0075470A"/>
    <w:rsid w:val="00774FFD"/>
    <w:rsid w:val="00805598"/>
    <w:rsid w:val="0089378B"/>
    <w:rsid w:val="00956565"/>
    <w:rsid w:val="00A37325"/>
    <w:rsid w:val="00C759DD"/>
    <w:rsid w:val="00D521C7"/>
    <w:rsid w:val="00EC1AEF"/>
    <w:rsid w:val="00F13FA4"/>
    <w:rsid w:val="00FF22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6CFC"/>
  <w15:chartTrackingRefBased/>
  <w15:docId w15:val="{0F90C67E-8488-4E3F-8DC3-2AD3E5E1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325"/>
    <w:pPr>
      <w:bidi/>
    </w:pPr>
  </w:style>
  <w:style w:type="paragraph" w:styleId="1">
    <w:name w:val="heading 1"/>
    <w:basedOn w:val="a"/>
    <w:next w:val="a"/>
    <w:link w:val="10"/>
    <w:uiPriority w:val="9"/>
    <w:qFormat/>
    <w:rsid w:val="00A37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37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373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373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373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373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73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73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73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37325"/>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A37325"/>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A37325"/>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A37325"/>
    <w:rPr>
      <w:rFonts w:eastAsiaTheme="majorEastAsia" w:cstheme="majorBidi"/>
      <w:i/>
      <w:iCs/>
      <w:color w:val="0F4761" w:themeColor="accent1" w:themeShade="BF"/>
    </w:rPr>
  </w:style>
  <w:style w:type="character" w:customStyle="1" w:styleId="50">
    <w:name w:val="כותרת 5 תו"/>
    <w:basedOn w:val="a0"/>
    <w:link w:val="5"/>
    <w:uiPriority w:val="9"/>
    <w:semiHidden/>
    <w:rsid w:val="00A37325"/>
    <w:rPr>
      <w:rFonts w:eastAsiaTheme="majorEastAsia" w:cstheme="majorBidi"/>
      <w:color w:val="0F4761" w:themeColor="accent1" w:themeShade="BF"/>
    </w:rPr>
  </w:style>
  <w:style w:type="character" w:customStyle="1" w:styleId="60">
    <w:name w:val="כותרת 6 תו"/>
    <w:basedOn w:val="a0"/>
    <w:link w:val="6"/>
    <w:uiPriority w:val="9"/>
    <w:semiHidden/>
    <w:rsid w:val="00A37325"/>
    <w:rPr>
      <w:rFonts w:eastAsiaTheme="majorEastAsia" w:cstheme="majorBidi"/>
      <w:i/>
      <w:iCs/>
      <w:color w:val="595959" w:themeColor="text1" w:themeTint="A6"/>
    </w:rPr>
  </w:style>
  <w:style w:type="character" w:customStyle="1" w:styleId="70">
    <w:name w:val="כותרת 7 תו"/>
    <w:basedOn w:val="a0"/>
    <w:link w:val="7"/>
    <w:uiPriority w:val="9"/>
    <w:semiHidden/>
    <w:rsid w:val="00A37325"/>
    <w:rPr>
      <w:rFonts w:eastAsiaTheme="majorEastAsia" w:cstheme="majorBidi"/>
      <w:color w:val="595959" w:themeColor="text1" w:themeTint="A6"/>
    </w:rPr>
  </w:style>
  <w:style w:type="character" w:customStyle="1" w:styleId="80">
    <w:name w:val="כותרת 8 תו"/>
    <w:basedOn w:val="a0"/>
    <w:link w:val="8"/>
    <w:uiPriority w:val="9"/>
    <w:semiHidden/>
    <w:rsid w:val="00A37325"/>
    <w:rPr>
      <w:rFonts w:eastAsiaTheme="majorEastAsia" w:cstheme="majorBidi"/>
      <w:i/>
      <w:iCs/>
      <w:color w:val="272727" w:themeColor="text1" w:themeTint="D8"/>
    </w:rPr>
  </w:style>
  <w:style w:type="character" w:customStyle="1" w:styleId="90">
    <w:name w:val="כותרת 9 תו"/>
    <w:basedOn w:val="a0"/>
    <w:link w:val="9"/>
    <w:uiPriority w:val="9"/>
    <w:semiHidden/>
    <w:rsid w:val="00A37325"/>
    <w:rPr>
      <w:rFonts w:eastAsiaTheme="majorEastAsia" w:cstheme="majorBidi"/>
      <w:color w:val="272727" w:themeColor="text1" w:themeTint="D8"/>
    </w:rPr>
  </w:style>
  <w:style w:type="paragraph" w:styleId="a3">
    <w:name w:val="Title"/>
    <w:basedOn w:val="a"/>
    <w:next w:val="a"/>
    <w:link w:val="a4"/>
    <w:uiPriority w:val="10"/>
    <w:qFormat/>
    <w:rsid w:val="00A37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373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325"/>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3732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37325"/>
    <w:pPr>
      <w:spacing w:before="160"/>
      <w:jc w:val="center"/>
    </w:pPr>
    <w:rPr>
      <w:i/>
      <w:iCs/>
      <w:color w:val="404040" w:themeColor="text1" w:themeTint="BF"/>
    </w:rPr>
  </w:style>
  <w:style w:type="character" w:customStyle="1" w:styleId="a8">
    <w:name w:val="ציטוט תו"/>
    <w:basedOn w:val="a0"/>
    <w:link w:val="a7"/>
    <w:uiPriority w:val="29"/>
    <w:rsid w:val="00A37325"/>
    <w:rPr>
      <w:i/>
      <w:iCs/>
      <w:color w:val="404040" w:themeColor="text1" w:themeTint="BF"/>
    </w:rPr>
  </w:style>
  <w:style w:type="paragraph" w:styleId="a9">
    <w:name w:val="List Paragraph"/>
    <w:basedOn w:val="a"/>
    <w:uiPriority w:val="34"/>
    <w:qFormat/>
    <w:rsid w:val="00A37325"/>
    <w:pPr>
      <w:ind w:left="720"/>
      <w:contextualSpacing/>
    </w:pPr>
  </w:style>
  <w:style w:type="character" w:styleId="aa">
    <w:name w:val="Intense Emphasis"/>
    <w:basedOn w:val="a0"/>
    <w:uiPriority w:val="21"/>
    <w:qFormat/>
    <w:rsid w:val="00A37325"/>
    <w:rPr>
      <w:i/>
      <w:iCs/>
      <w:color w:val="0F4761" w:themeColor="accent1" w:themeShade="BF"/>
    </w:rPr>
  </w:style>
  <w:style w:type="paragraph" w:styleId="ab">
    <w:name w:val="Intense Quote"/>
    <w:basedOn w:val="a"/>
    <w:next w:val="a"/>
    <w:link w:val="ac"/>
    <w:uiPriority w:val="30"/>
    <w:qFormat/>
    <w:rsid w:val="00A37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A37325"/>
    <w:rPr>
      <w:i/>
      <w:iCs/>
      <w:color w:val="0F4761" w:themeColor="accent1" w:themeShade="BF"/>
    </w:rPr>
  </w:style>
  <w:style w:type="character" w:styleId="ad">
    <w:name w:val="Intense Reference"/>
    <w:basedOn w:val="a0"/>
    <w:uiPriority w:val="32"/>
    <w:qFormat/>
    <w:rsid w:val="00A37325"/>
    <w:rPr>
      <w:b/>
      <w:bCs/>
      <w:smallCaps/>
      <w:color w:val="0F4761" w:themeColor="accent1" w:themeShade="BF"/>
      <w:spacing w:val="5"/>
    </w:rPr>
  </w:style>
  <w:style w:type="paragraph" w:styleId="ae">
    <w:name w:val="footnote text"/>
    <w:basedOn w:val="a"/>
    <w:link w:val="af"/>
    <w:uiPriority w:val="99"/>
    <w:unhideWhenUsed/>
    <w:rsid w:val="00D521C7"/>
    <w:pPr>
      <w:spacing w:after="0" w:line="240" w:lineRule="auto"/>
    </w:pPr>
    <w:rPr>
      <w:sz w:val="20"/>
      <w:szCs w:val="20"/>
    </w:rPr>
  </w:style>
  <w:style w:type="character" w:customStyle="1" w:styleId="af">
    <w:name w:val="טקסט הערת שוליים תו"/>
    <w:basedOn w:val="a0"/>
    <w:link w:val="ae"/>
    <w:uiPriority w:val="99"/>
    <w:rsid w:val="00D521C7"/>
    <w:rPr>
      <w:sz w:val="20"/>
      <w:szCs w:val="20"/>
    </w:rPr>
  </w:style>
  <w:style w:type="character" w:styleId="af0">
    <w:name w:val="footnote reference"/>
    <w:basedOn w:val="a0"/>
    <w:uiPriority w:val="99"/>
    <w:unhideWhenUsed/>
    <w:rsid w:val="00D521C7"/>
    <w:rPr>
      <w:vertAlign w:val="superscript"/>
    </w:rPr>
  </w:style>
  <w:style w:type="paragraph" w:styleId="af1">
    <w:name w:val="header"/>
    <w:basedOn w:val="a"/>
    <w:link w:val="af2"/>
    <w:uiPriority w:val="99"/>
    <w:unhideWhenUsed/>
    <w:rsid w:val="00096519"/>
    <w:pPr>
      <w:tabs>
        <w:tab w:val="center" w:pos="4153"/>
        <w:tab w:val="right" w:pos="8306"/>
      </w:tabs>
      <w:spacing w:after="0" w:line="240" w:lineRule="auto"/>
    </w:pPr>
  </w:style>
  <w:style w:type="character" w:customStyle="1" w:styleId="af2">
    <w:name w:val="כותרת עליונה תו"/>
    <w:basedOn w:val="a0"/>
    <w:link w:val="af1"/>
    <w:uiPriority w:val="99"/>
    <w:rsid w:val="00096519"/>
  </w:style>
  <w:style w:type="paragraph" w:styleId="af3">
    <w:name w:val="footer"/>
    <w:basedOn w:val="a"/>
    <w:link w:val="af4"/>
    <w:uiPriority w:val="99"/>
    <w:unhideWhenUsed/>
    <w:rsid w:val="00096519"/>
    <w:pPr>
      <w:tabs>
        <w:tab w:val="center" w:pos="4153"/>
        <w:tab w:val="right" w:pos="8306"/>
      </w:tabs>
      <w:spacing w:after="0" w:line="240" w:lineRule="auto"/>
    </w:pPr>
  </w:style>
  <w:style w:type="character" w:customStyle="1" w:styleId="af4">
    <w:name w:val="כותרת תחתונה תו"/>
    <w:basedOn w:val="a0"/>
    <w:link w:val="af3"/>
    <w:uiPriority w:val="99"/>
    <w:rsid w:val="00096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8BEA9-E9E9-4BA8-A852-294F7C26C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7</Pages>
  <Words>2092</Words>
  <Characters>10460</Characters>
  <Application>Microsoft Office Word</Application>
  <DocSecurity>0</DocSecurity>
  <Lines>87</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9</cp:revision>
  <dcterms:created xsi:type="dcterms:W3CDTF">2026-08-28T12:24:00Z</dcterms:created>
  <dcterms:modified xsi:type="dcterms:W3CDTF">2026-09-04T03:58:00Z</dcterms:modified>
</cp:coreProperties>
</file>